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徐闻县城北乡人民政府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徐闻县城北乡人民政府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10.46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6.16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6.16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4.30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10.46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6.16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6.16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4.30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徐闻县城北乡人民政府</w:t>
      </w:r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10.46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2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10.46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3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4" w:name="PO_part3A3B1C1IncAmount1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6.51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5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38.36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6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7" w:name="PO_part3A3B1C1IncAmount2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7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8" w:name="PO_part3A3B1C1IncPercent2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9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6.16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6.16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0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1" w:name="PO_part3A3B1C1IncAmount3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0.23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2" w:name="PO_part3A3B1C1IncPercent3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3.60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3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6.16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4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5" w:name="PO_part3A3B1C1IncAmount4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4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6.16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6.16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7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8" w:name="PO_part3A3B1C1IncAmount5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18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0.23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9" w:name="PO_part3A3B1C1IncPercent5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3.60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4.30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4.30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0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1" w:name="PO_part3A3B1C1IncAmount6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6.28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2" w:name="PO_part3A3B1C1IncPercent6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59.36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2"/>
    </w:p>
    <w:p w14:paraId="767D695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23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等于</w:t>
      </w:r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4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控制与</w:t>
      </w:r>
      <w:r>
        <w:rPr>
          <w:rFonts w:hint="eastAsia" w:ascii="仿宋_GB2312" w:hAnsi="宋体" w:eastAsia="仿宋_GB2312" w:cs="宋体"/>
          <w:sz w:val="32"/>
          <w:szCs w:val="32"/>
        </w:rPr>
        <w:t>预算</w:t>
      </w:r>
      <w:bookmarkEnd w:id="2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数持平。</w:t>
      </w:r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25" w:name="PO_part3A3B1C1Year2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6" w:name="PO_part3A3B1C1Diff2"/>
      <w:r>
        <w:rPr>
          <w:rFonts w:hint="eastAsia" w:ascii="仿宋_GB2312" w:hAnsi="宋体" w:eastAsia="仿宋_GB2312" w:cs="宋体"/>
          <w:sz w:val="32"/>
          <w:szCs w:val="32"/>
        </w:rPr>
        <w:t>小于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认真贯彻落实中央八项规定精神和厉行节约的要求，减少公务接待费用。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7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28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x%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29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6.16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58.89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0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4.30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41.11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31" w:name="PO_part3A3B2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32" w:name="PO_part3A3B2C1Jgcg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3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3"/>
    </w:p>
    <w:p w14:paraId="3E58C8B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34" w:name="PO_part3A3B2C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6.16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35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36" w:name="PO_part3A3B2C2D1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6.16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37" w:name="PO_part3A3B2C2D2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38" w:name="PO_part3A3B2C2D2Use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日常下乡工作。</w:t>
      </w:r>
      <w:bookmarkEnd w:id="38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4.30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39" w:name="PO_part3A3B2C3Detail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本年度公务接待费用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bookmarkStart w:id="40" w:name="PO_part3A3B2C3Lfzt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41" w:name="PO_part3A3B2C3Gnjd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42" w:name="PO_part3A3B2C3Gnjd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703</w:t>
      </w:r>
      <w:bookmarkStart w:id="44" w:name="_GoBack"/>
      <w:bookmarkEnd w:id="44"/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43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</w:t>
      </w:r>
      <w:bookmarkEnd w:id="43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用于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接待上级部门到我乡及各村委会调研、指导检查工作。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26D317C5"/>
    <w:rsid w:val="29171846"/>
    <w:rsid w:val="30BC0D4E"/>
    <w:rsid w:val="45B25BFB"/>
    <w:rsid w:val="4F7046F6"/>
    <w:rsid w:val="67182F73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1030</Words>
  <Characters>1226</Characters>
  <Lines>0</Lines>
  <Paragraphs>0</Paragraphs>
  <TotalTime>73</TotalTime>
  <ScaleCrop>false</ScaleCrop>
  <LinksUpToDate>false</LinksUpToDate>
  <CharactersWithSpaces>1267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延津剑合</cp:lastModifiedBy>
  <dcterms:modified xsi:type="dcterms:W3CDTF">2025-10-11T10:02:17Z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eyJoZGlkIjoiOGViNjZiM2FkYzY3N2ZjMWJiOTE3YTAxYWVmNmZmZjAiLCJ1c2VySWQiOiI0MjQwOTY5MjgifQ==</vt:lpwstr>
  </property>
</Properties>
</file>