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2024年前山镇人民政府“三公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bookmarkStart w:id="1" w:name="PO_part2Table9DivName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xx</w:t>
            </w:r>
            <w:bookmarkEnd w:id="1"/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x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25252"/>
                <w:spacing w:val="11"/>
                <w:kern w:val="0"/>
                <w:sz w:val="21"/>
                <w:szCs w:val="21"/>
                <w:lang w:val="en-US" w:eastAsia="zh-CN" w:bidi="ar"/>
              </w:rPr>
              <w:t>26.77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25252"/>
                <w:spacing w:val="11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25252"/>
                <w:spacing w:val="11"/>
                <w:kern w:val="0"/>
                <w:sz w:val="21"/>
                <w:szCs w:val="21"/>
                <w:lang w:val="en-US" w:eastAsia="zh-CN" w:bidi="ar"/>
              </w:rPr>
              <w:t>3.99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25252"/>
                <w:spacing w:val="11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25252"/>
                <w:spacing w:val="11"/>
                <w:kern w:val="0"/>
                <w:sz w:val="21"/>
                <w:szCs w:val="21"/>
                <w:lang w:val="en-US" w:eastAsia="zh-CN" w:bidi="ar"/>
              </w:rPr>
              <w:t>3.99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25252"/>
                <w:spacing w:val="11"/>
                <w:kern w:val="0"/>
                <w:sz w:val="21"/>
                <w:szCs w:val="21"/>
                <w:lang w:val="en-US" w:eastAsia="zh-CN" w:bidi="ar"/>
              </w:rPr>
              <w:t>22.78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25252"/>
                <w:spacing w:val="11"/>
                <w:kern w:val="0"/>
                <w:sz w:val="21"/>
                <w:szCs w:val="21"/>
                <w:lang w:val="en-US" w:eastAsia="zh-CN" w:bidi="ar"/>
              </w:rPr>
              <w:t>26.77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25252"/>
                <w:spacing w:val="11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25252"/>
                <w:spacing w:val="11"/>
                <w:kern w:val="0"/>
                <w:sz w:val="21"/>
                <w:szCs w:val="21"/>
                <w:lang w:val="en-US" w:eastAsia="zh-CN" w:bidi="ar"/>
              </w:rPr>
              <w:t>3.99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25252"/>
                <w:spacing w:val="11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25252"/>
                <w:spacing w:val="11"/>
                <w:kern w:val="0"/>
                <w:sz w:val="21"/>
                <w:szCs w:val="21"/>
                <w:lang w:val="en-US" w:eastAsia="zh-CN" w:bidi="ar"/>
              </w:rPr>
              <w:t>3.99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25252"/>
                <w:spacing w:val="11"/>
                <w:kern w:val="0"/>
                <w:sz w:val="21"/>
                <w:szCs w:val="21"/>
                <w:lang w:val="en-US" w:eastAsia="zh-CN" w:bidi="ar"/>
              </w:rPr>
              <w:t>22.78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2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前山镇人民政府</w:t>
      </w:r>
      <w:bookmarkEnd w:id="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3" w:name="PO_part3A3B1C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26.77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26.77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4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5" w:name="PO_part3A3B1C1IncAmount1"/>
      <w:r>
        <w:rPr>
          <w:rFonts w:hint="eastAsia" w:ascii="仿宋_GB2312" w:hAnsi="宋体" w:eastAsia="仿宋_GB2312" w:cs="宋体"/>
          <w:sz w:val="32"/>
          <w:szCs w:val="32"/>
        </w:rPr>
        <w:t>增加15.37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6" w:name="PO_part3A3B1C1IncPercent1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134.9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7" w:name="PO_part3A3B1C1qzPercent1"/>
      <w:r>
        <w:rPr>
          <w:rFonts w:hint="eastAsia" w:ascii="仿宋_GB2312" w:hAnsi="宋体" w:eastAsia="仿宋_GB2312" w:cs="宋体"/>
          <w:sz w:val="32"/>
          <w:szCs w:val="32"/>
        </w:rPr>
        <w:t>（基数为0，不可比）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8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9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（基数为0，不可比）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bookmarkStart w:id="10" w:name="PO_part3A3B1C1qz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3.99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3.99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1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2" w:name="PO_part3A3B1C1IncAmount3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3" w:name="PO_part3A3B1C1IncPercent3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4" w:name="PO_part3A3B1C1qzysAmou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5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（基数为0，不可比）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6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6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7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（基数为0，不可比）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3.99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8" w:name="PO_part3A3B1C1qzys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3.99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9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0" w:name="PO_part3A3B1C1IncAmount5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20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0.04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1" w:name="PO_part3A3B1C1IncPercent5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bookmarkStart w:id="22" w:name="PO_part3A3B1C1qz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22.78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22.78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3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3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4" w:name="PO_part3A3B1C1IncAmount6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2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15.34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5" w:name="PO_part3A3B1C1IncPercent6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205.9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25"/>
    </w:p>
    <w:p w14:paraId="767D695D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6" w:name="PO_part3A3B1C1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7" w:name="PO_part3A3B1C1Diff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等于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28" w:name="PO_part3A3B1C1DiffReason1"/>
      <w:r>
        <w:rPr>
          <w:rFonts w:hint="eastAsia" w:ascii="仿宋_GB2312" w:hAnsi="宋体" w:eastAsia="仿宋_GB2312" w:cs="宋体"/>
          <w:sz w:val="32"/>
          <w:szCs w:val="32"/>
        </w:rPr>
        <w:t>认真贯彻落实中央八项规定精神和厉行节约的要求，从严控</w:t>
      </w:r>
      <w:bookmarkStart w:id="41" w:name="_GoBack"/>
      <w:bookmarkEnd w:id="41"/>
      <w:r>
        <w:rPr>
          <w:rFonts w:hint="eastAsia" w:ascii="仿宋_GB2312" w:hAnsi="宋体" w:eastAsia="仿宋_GB2312" w:cs="宋体"/>
          <w:sz w:val="32"/>
          <w:szCs w:val="32"/>
        </w:rPr>
        <w:t>制“三公”经费开支，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严格按照“三公”经费预算数进行使用</w:t>
      </w:r>
      <w:bookmarkEnd w:id="28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 w14:paraId="2262CA32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29" w:name="PO_part3A3B1C1Year2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30" w:name="PO_part3A3B1C1Diff2"/>
      <w:r>
        <w:rPr>
          <w:rFonts w:hint="eastAsia" w:ascii="仿宋_GB2312" w:hAnsi="宋体" w:eastAsia="仿宋_GB2312" w:cs="宋体"/>
          <w:sz w:val="32"/>
          <w:szCs w:val="32"/>
        </w:rPr>
        <w:t>大于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上年决算数的主要情况：</w:t>
      </w:r>
      <w:bookmarkStart w:id="31" w:name="PO_part3A3B1C1DiffReason2"/>
      <w:r>
        <w:rPr>
          <w:rFonts w:hint="eastAsia" w:ascii="仿宋_GB2312" w:hAnsi="宋体" w:eastAsia="仿宋_GB2312" w:cs="宋体"/>
          <w:sz w:val="32"/>
          <w:szCs w:val="32"/>
        </w:rPr>
        <w:t>主要原因是单位本年对公务接待费支出进行了调整，公务接待费有所增加，全年实际支出同比有所提高。。</w:t>
      </w:r>
      <w:bookmarkEnd w:id="31"/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D5028F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32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33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3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34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3.99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14.9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4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35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22.78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85.1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5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59C94299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bookmarkStart w:id="36" w:name="PO_part3A3B2C1Jgcg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6"/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bookmarkStart w:id="37" w:name="PO_part3A3B2C1JgcgMan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7"/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38" w:name="PO_part3A3B2C1D1Meeting1"/>
      <w:r>
        <w:rPr>
          <w:rFonts w:hint="eastAsia" w:ascii="仿宋_GB2312" w:hAnsi="宋体" w:eastAsia="仿宋_GB2312" w:cs="宋体"/>
          <w:sz w:val="32"/>
          <w:szCs w:val="32"/>
        </w:rPr>
        <w:t xml:space="preserve">。 </w:t>
      </w:r>
      <w:bookmarkEnd w:id="38"/>
    </w:p>
    <w:p w14:paraId="3E58C8B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</w:t>
      </w:r>
      <w:bookmarkStart w:id="39" w:name="PO_part3A3B2C2D2Use1"/>
      <w:r>
        <w:rPr>
          <w:rFonts w:hint="eastAsia" w:ascii="仿宋_GB2312" w:hAnsi="宋体" w:eastAsia="仿宋_GB2312" w:cs="宋体"/>
          <w:sz w:val="32"/>
          <w:szCs w:val="32"/>
        </w:rPr>
        <w:t xml:space="preserve">公务用车购置及运行维护费支出3.99万元，其中：公务用车购置支出为0万元，公务用车购置数0辆。公务用车运行维护费支出3.99万元，公务用车保有量为2辆，主要用于我单位领导干部到县城、农村开展会议培训、纠纷调解、考察调研等工作，目前有一辆公务用车已申请报废，但未购置新公务用车。 </w:t>
      </w:r>
      <w:bookmarkEnd w:id="39"/>
    </w:p>
    <w:p w14:paraId="75672C84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</w:t>
      </w:r>
      <w:bookmarkStart w:id="40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公务接待费支出22.78万元，主要用于接待上级单位至我单位指导、考核工作相关人员，共接待国外、境外来访团组0个，来访外宾0人次；发生国内接待286次，接待人数共1,859人。主要包括上级各单位至我乡镇开展调研、考核、指导工作相关人员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40"/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5717E939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2D3B9A"/>
    <w:rsid w:val="26811F3C"/>
    <w:rsid w:val="30BC0D4E"/>
    <w:rsid w:val="3E05582F"/>
    <w:rsid w:val="45B25BFB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1458</Words>
  <Characters>1593</Characters>
  <Lines>0</Lines>
  <Paragraphs>0</Paragraphs>
  <TotalTime>9</TotalTime>
  <ScaleCrop>false</ScaleCrop>
  <LinksUpToDate>false</LinksUpToDate>
  <CharactersWithSpaces>1657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唐一一。</cp:lastModifiedBy>
  <dcterms:modified xsi:type="dcterms:W3CDTF">2025-10-10T08:52:57Z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68FC0A0130124759B823ABB6B04F0C8B_13</vt:lpwstr>
  </property>
  <property fmtid="{D5CDD505-2E9C-101B-9397-08002B2CF9AE}" pid="4" name="KSOTemplateDocerSaveRecord">
    <vt:lpwstr>eyJoZGlkIjoiMTg3YzJjNDAxZmY3MWZiMDI2YzllNDFmMjk5NDE0YzMiLCJ1c2VySWQiOiIzNDMzNjE1MjcifQ==</vt:lpwstr>
  </property>
</Properties>
</file>