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</w:t>
      </w:r>
      <w:bookmarkStart w:id="39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徐闻县下洋镇人民政府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bookmarkEnd w:id="39"/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：徐闻县下洋镇人民政府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12.64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12.64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徐闻县下洋镇人民政府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年度“三公”经费财政拨款支出决算为17.46万元，完成全年预算17.46万元的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9.62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35.52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5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8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4.81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4.81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减少0.98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16.93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6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4.81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4.81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减少0.98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16.93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12.64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12.64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2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8.52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40.26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4"/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5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6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7" w:name="PO_part3A3B1C1DiffReason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徐闻县下洋镇人民政府</w:t>
      </w:r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32"/>
          <w:szCs w:val="32"/>
        </w:rPr>
        <w:t>预算</w:t>
      </w:r>
      <w:bookmarkEnd w:id="27"/>
      <w:bookmarkStart w:id="28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数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28"/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9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0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1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4.81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27.55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2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12.64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72.39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3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4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4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4.81</w:t>
      </w:r>
      <w:r>
        <w:rPr>
          <w:rFonts w:hint="eastAsia" w:ascii="仿宋_GB2312" w:hAnsi="宋体" w:eastAsia="仿宋_GB2312" w:cs="宋体"/>
          <w:sz w:val="32"/>
          <w:szCs w:val="32"/>
        </w:rPr>
        <w:t>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4.81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5" w:name="PO_part3A3B2C2D2Use1"/>
      <w:r>
        <w:rPr>
          <w:rFonts w:hint="eastAsia" w:ascii="仿宋_GB2312" w:hAnsi="宋体" w:eastAsia="仿宋_GB2312" w:cs="宋体"/>
          <w:sz w:val="32"/>
          <w:szCs w:val="32"/>
        </w:rPr>
        <w:t>下乡督导工作、主持百千万工程工作以及开展各项工作。</w:t>
      </w:r>
      <w:bookmarkEnd w:id="35"/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12.64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万元，主要用于出席会议、考察调研、执行任务、交流学习、检查指导、请示汇报等公务活动，共接待国外、境外来访团组</w:t>
      </w:r>
      <w:bookmarkStart w:id="36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7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人次；发生国内接待320次，接待人数共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3342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38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主要包括上级机关单位进行业务调研以及考察、检查工作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8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4581CB1"/>
    <w:rsid w:val="202D3B9A"/>
    <w:rsid w:val="26811F3C"/>
    <w:rsid w:val="30BC0D4E"/>
    <w:rsid w:val="35C80195"/>
    <w:rsid w:val="36E25286"/>
    <w:rsid w:val="43C43BF5"/>
    <w:rsid w:val="45B25BFB"/>
    <w:rsid w:val="56574EF1"/>
    <w:rsid w:val="5DAD189A"/>
    <w:rsid w:val="5FD213C4"/>
    <w:rsid w:val="61C81BC2"/>
    <w:rsid w:val="736507F6"/>
    <w:rsid w:val="75CB36A1"/>
    <w:rsid w:val="791D56CF"/>
    <w:rsid w:val="7C5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8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小陈</cp:lastModifiedBy>
  <dcterms:modified xsi:type="dcterms:W3CDTF">2025-10-13T09:20:49Z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8ECED685EC0945508B9FAEB64E6E95C3_13</vt:lpwstr>
  </property>
  <property fmtid="{D5CDD505-2E9C-101B-9397-08002B2CF9AE}" pid="4" name="KSOTemplateDocerSaveRecord">
    <vt:lpwstr>eyJoZGlkIjoiOGJjM2Y2NGY5MDNjN2ZiMjBlZTYxOWFmOWQxNWQ3MzMiLCJ1c2VySWQiOiIxNDczNjU2NDc0In0=</vt:lpwstr>
  </property>
</Properties>
</file>