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广东徐闻经济开发区管理委员会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广东徐闻经济开发区管理委员会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2024年广东徐闻经济开发区2024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2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15.5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6.46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0.7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233.34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6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比上年决算数</w:t>
      </w:r>
      <w:bookmarkStart w:id="7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8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15.5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6.46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233.34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2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万元，比上年决算数</w:t>
      </w:r>
      <w:bookmarkStart w:id="13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4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5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15.5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6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6.46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7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8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233.34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19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万元，比上年决算数</w:t>
      </w:r>
      <w:bookmarkStart w:id="20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1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1"/>
    </w:p>
    <w:p w14:paraId="2262CA3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2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3" w:name="PO_part3A3B1C1Diff1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4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bookmarkEnd w:id="2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5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6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27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6.46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28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29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29"/>
    </w:p>
    <w:p w14:paraId="51053A0C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30" w:name="PO_part3A3B2C2D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1" w:name="PO_part3A3B2C2D2Us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领导调研，公务接送，各部门因公外出工作，传递、运送机要文件和涉密载体。</w:t>
      </w:r>
    </w:p>
    <w:bookmarkEnd w:id="31"/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本年度无公务接待费用</w:t>
      </w:r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32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33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公务接待，招商引资接待等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3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>
      <w:bookmarkStart w:id="34" w:name="_GoBack"/>
      <w:bookmarkEnd w:id="34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5EF7197"/>
    <w:rsid w:val="202D3B9A"/>
    <w:rsid w:val="213740FC"/>
    <w:rsid w:val="26811F3C"/>
    <w:rsid w:val="30BC0D4E"/>
    <w:rsid w:val="370C40AE"/>
    <w:rsid w:val="3B6B2389"/>
    <w:rsid w:val="45B25BFB"/>
    <w:rsid w:val="5F0B4ACB"/>
    <w:rsid w:val="673E4E61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1484</Words>
  <Characters>1615</Characters>
  <Lines>0</Lines>
  <Paragraphs>0</Paragraphs>
  <TotalTime>1</TotalTime>
  <ScaleCrop>false</ScaleCrop>
  <LinksUpToDate>false</LinksUpToDate>
  <CharactersWithSpaces>1679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淡墨清钐</cp:lastModifiedBy>
  <dcterms:modified xsi:type="dcterms:W3CDTF">2025-10-11T07:38:46Z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B8A0BBC8D819412C9D47559167D89AA9_13</vt:lpwstr>
  </property>
  <property fmtid="{D5CDD505-2E9C-101B-9397-08002B2CF9AE}" pid="4" name="KSOTemplateDocerSaveRecord">
    <vt:lpwstr>eyJoZGlkIjoiYzcxZDYxYjFkNTI5NTUzYzQ5Y2JiZjllYzk2NGJiZTciLCJ1c2VySWQiOiIzMTQwOTA2OTUifQ==</vt:lpwstr>
  </property>
</Properties>
</file>