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91D7AA">
      <w:pPr>
        <w:jc w:val="center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</w:pPr>
      <w:bookmarkStart w:id="4" w:name="_GoBack"/>
      <w:bookmarkEnd w:id="4"/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 xml:space="preserve">  </w:t>
      </w:r>
    </w:p>
    <w:p w14:paraId="34A37F4E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  <w:t xml:space="preserve"> 2024年徐闻县新寮镇中心小学“三公</w:t>
      </w:r>
      <w:r>
        <w:rPr>
          <w:rFonts w:hint="default" w:ascii="仿宋_GB2312" w:hAnsi="宋体" w:eastAsia="仿宋_GB2312" w:cs="宋体"/>
          <w:b/>
          <w:sz w:val="44"/>
          <w:szCs w:val="44"/>
          <w:lang w:val="en-US" w:eastAsia="zh-CN"/>
        </w:rPr>
        <w:t>”</w:t>
      </w:r>
      <w:r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  <w:t>经费决算公开</w:t>
      </w:r>
    </w:p>
    <w:p w14:paraId="05AA9E84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</w:p>
    <w:p w14:paraId="35F2358F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3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71"/>
      </w:tblGrid>
      <w:tr w14:paraId="51C0E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4174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3A2F763">
            <w:pPr>
              <w:jc w:val="righ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表9</w:t>
            </w:r>
          </w:p>
        </w:tc>
      </w:tr>
      <w:tr w14:paraId="2F6BD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4174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CF647BD">
            <w:pPr>
              <w:jc w:val="center"/>
              <w:rPr>
                <w:rFonts w:hint="eastAsia"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32"/>
                <w:szCs w:val="32"/>
              </w:rPr>
              <w:t>财政拨款“三公”经费支出决算表</w:t>
            </w:r>
          </w:p>
        </w:tc>
      </w:tr>
      <w:tr w14:paraId="57628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0639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54F44F76">
            <w:pPr>
              <w:spacing w:line="288" w:lineRule="auto"/>
              <w:jc w:val="left"/>
              <w:rPr>
                <w:rFonts w:hint="eastAsia" w:ascii="宋体" w:hAnsi="宋体" w:cs="宋体" w:eastAsiaTheme="minorEastAsia"/>
                <w:sz w:val="28"/>
                <w:szCs w:val="28"/>
                <w:lang w:val="en-US" w:eastAsia="zh-CN"/>
              </w:rPr>
            </w:pPr>
            <w:bookmarkStart w:id="0" w:name="PO_part2DivName9"/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单位 </w:t>
            </w:r>
            <w:bookmarkEnd w:id="0"/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：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徐闻县新寮镇中心小学</w:t>
            </w:r>
          </w:p>
        </w:tc>
        <w:tc>
          <w:tcPr>
            <w:tcW w:w="353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6B02612A">
            <w:pPr>
              <w:jc w:val="righ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单位：万元</w:t>
            </w:r>
          </w:p>
        </w:tc>
      </w:tr>
      <w:tr w14:paraId="1D80F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7093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 w14:paraId="6B6D10DB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预算数</w:t>
            </w:r>
          </w:p>
        </w:tc>
        <w:tc>
          <w:tcPr>
            <w:tcW w:w="7081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 w14:paraId="3C2BAD0C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决算数</w:t>
            </w:r>
          </w:p>
        </w:tc>
      </w:tr>
      <w:tr w14:paraId="7E3E0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vMerge w:val="restart"/>
            <w:noWrap w:val="0"/>
            <w:vAlign w:val="center"/>
          </w:tcPr>
          <w:p w14:paraId="29F0A20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0626D84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因公出国（境）费</w:t>
            </w:r>
          </w:p>
        </w:tc>
        <w:tc>
          <w:tcPr>
            <w:tcW w:w="3546" w:type="dxa"/>
            <w:gridSpan w:val="3"/>
            <w:noWrap w:val="0"/>
            <w:vAlign w:val="center"/>
          </w:tcPr>
          <w:p w14:paraId="338A4D43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公务用车购置及运行维护费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07ADDF4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公务接待费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1BB9B470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184EA397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因公出国（境）费</w:t>
            </w:r>
          </w:p>
        </w:tc>
        <w:tc>
          <w:tcPr>
            <w:tcW w:w="3546" w:type="dxa"/>
            <w:gridSpan w:val="3"/>
            <w:noWrap w:val="0"/>
            <w:vAlign w:val="center"/>
          </w:tcPr>
          <w:p w14:paraId="429628C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公务用车购置及运行维护费</w:t>
            </w:r>
          </w:p>
        </w:tc>
        <w:tc>
          <w:tcPr>
            <w:tcW w:w="1171" w:type="dxa"/>
            <w:vMerge w:val="restart"/>
            <w:noWrap w:val="0"/>
            <w:vAlign w:val="center"/>
          </w:tcPr>
          <w:p w14:paraId="3D21A698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公务接待费</w:t>
            </w:r>
          </w:p>
        </w:tc>
      </w:tr>
      <w:tr w14:paraId="6D1E2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vMerge w:val="continue"/>
            <w:noWrap w:val="0"/>
            <w:vAlign w:val="top"/>
          </w:tcPr>
          <w:p w14:paraId="70039CAC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4A38F19C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noWrap w:val="0"/>
            <w:vAlign w:val="center"/>
          </w:tcPr>
          <w:p w14:paraId="2D49DFA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小计</w:t>
            </w:r>
          </w:p>
        </w:tc>
        <w:tc>
          <w:tcPr>
            <w:tcW w:w="1182" w:type="dxa"/>
            <w:noWrap w:val="0"/>
            <w:vAlign w:val="center"/>
          </w:tcPr>
          <w:p w14:paraId="57EC8C1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购置费</w:t>
            </w:r>
          </w:p>
        </w:tc>
        <w:tc>
          <w:tcPr>
            <w:tcW w:w="1182" w:type="dxa"/>
            <w:noWrap w:val="0"/>
            <w:vAlign w:val="center"/>
          </w:tcPr>
          <w:p w14:paraId="736959D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运行维护费</w:t>
            </w:r>
          </w:p>
        </w:tc>
        <w:tc>
          <w:tcPr>
            <w:tcW w:w="1182" w:type="dxa"/>
            <w:vMerge w:val="continue"/>
            <w:noWrap w:val="0"/>
            <w:vAlign w:val="top"/>
          </w:tcPr>
          <w:p w14:paraId="5083F241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05CDFA52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68EBFA7E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noWrap w:val="0"/>
            <w:vAlign w:val="center"/>
          </w:tcPr>
          <w:p w14:paraId="6EFDF3B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小计</w:t>
            </w:r>
          </w:p>
        </w:tc>
        <w:tc>
          <w:tcPr>
            <w:tcW w:w="1182" w:type="dxa"/>
            <w:noWrap w:val="0"/>
            <w:vAlign w:val="center"/>
          </w:tcPr>
          <w:p w14:paraId="6A203E7C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购置费</w:t>
            </w:r>
          </w:p>
        </w:tc>
        <w:tc>
          <w:tcPr>
            <w:tcW w:w="1182" w:type="dxa"/>
            <w:noWrap w:val="0"/>
            <w:vAlign w:val="center"/>
          </w:tcPr>
          <w:p w14:paraId="46959E65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运行维护费</w:t>
            </w:r>
          </w:p>
        </w:tc>
        <w:tc>
          <w:tcPr>
            <w:tcW w:w="1171" w:type="dxa"/>
            <w:vMerge w:val="continue"/>
            <w:noWrap w:val="0"/>
            <w:vAlign w:val="top"/>
          </w:tcPr>
          <w:p w14:paraId="04470849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</w:tr>
      <w:tr w14:paraId="4E423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noWrap w:val="0"/>
            <w:vAlign w:val="center"/>
          </w:tcPr>
          <w:p w14:paraId="07C4178B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182" w:type="dxa"/>
            <w:noWrap w:val="0"/>
            <w:vAlign w:val="center"/>
          </w:tcPr>
          <w:p w14:paraId="6644346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182" w:type="dxa"/>
            <w:noWrap w:val="0"/>
            <w:vAlign w:val="center"/>
          </w:tcPr>
          <w:p w14:paraId="5D2058B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182" w:type="dxa"/>
            <w:noWrap w:val="0"/>
            <w:vAlign w:val="center"/>
          </w:tcPr>
          <w:p w14:paraId="7ED6ADD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182" w:type="dxa"/>
            <w:noWrap w:val="0"/>
            <w:vAlign w:val="center"/>
          </w:tcPr>
          <w:p w14:paraId="01E7A8F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182" w:type="dxa"/>
            <w:noWrap w:val="0"/>
            <w:vAlign w:val="center"/>
          </w:tcPr>
          <w:p w14:paraId="1E7B541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1182" w:type="dxa"/>
            <w:noWrap w:val="0"/>
            <w:vAlign w:val="center"/>
          </w:tcPr>
          <w:p w14:paraId="2821825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7</w:t>
            </w:r>
          </w:p>
        </w:tc>
        <w:tc>
          <w:tcPr>
            <w:tcW w:w="1182" w:type="dxa"/>
            <w:noWrap w:val="0"/>
            <w:vAlign w:val="center"/>
          </w:tcPr>
          <w:p w14:paraId="5C68C9B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1182" w:type="dxa"/>
            <w:noWrap w:val="0"/>
            <w:vAlign w:val="center"/>
          </w:tcPr>
          <w:p w14:paraId="14E4728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9</w:t>
            </w:r>
          </w:p>
        </w:tc>
        <w:tc>
          <w:tcPr>
            <w:tcW w:w="1182" w:type="dxa"/>
            <w:noWrap w:val="0"/>
            <w:vAlign w:val="center"/>
          </w:tcPr>
          <w:p w14:paraId="5C7C198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1182" w:type="dxa"/>
            <w:noWrap w:val="0"/>
            <w:vAlign w:val="center"/>
          </w:tcPr>
          <w:p w14:paraId="7701D34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11</w:t>
            </w:r>
          </w:p>
        </w:tc>
        <w:tc>
          <w:tcPr>
            <w:tcW w:w="1171" w:type="dxa"/>
            <w:noWrap w:val="0"/>
            <w:vAlign w:val="center"/>
          </w:tcPr>
          <w:p w14:paraId="4D45EE8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12</w:t>
            </w:r>
          </w:p>
        </w:tc>
      </w:tr>
      <w:tr w14:paraId="531B1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noWrap w:val="0"/>
            <w:vAlign w:val="center"/>
          </w:tcPr>
          <w:p w14:paraId="77D264E3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4D5EABE3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11BE20D0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3F02F800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2FC129E7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61F6E8B1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3D00B007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10F93DC7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7B78195F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59B24361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74F22B8D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71" w:type="dxa"/>
            <w:noWrap w:val="0"/>
            <w:vAlign w:val="center"/>
          </w:tcPr>
          <w:p w14:paraId="6F7ACF0A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</w:tr>
    </w:tbl>
    <w:p w14:paraId="5D62CBEC">
      <w:pPr>
        <w:spacing w:line="360" w:lineRule="auto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注：本表反映部门（单位）本年度财政拨款“三公”经费支出预决算情况。其中，预算数为“三公”经费全年预算数，反映按规定程序调整后的预算数；决算数是包括当年财政拨款和以前年度结转资金安排的实际支出。</w:t>
      </w:r>
    </w:p>
    <w:p w14:paraId="081565A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3"/>
          <w:kern w:val="0"/>
          <w:sz w:val="32"/>
          <w:szCs w:val="32"/>
          <w:lang w:val="en-US" w:eastAsia="zh-CN" w:bidi="ar"/>
        </w:rPr>
      </w:pPr>
    </w:p>
    <w:p w14:paraId="1399B1CD">
      <w:pPr>
        <w:ind w:firstLine="643" w:firstLineChars="200"/>
        <w:rPr>
          <w:rFonts w:hint="eastAsia" w:ascii="仿宋_GB2312" w:hAnsi="宋体" w:eastAsia="仿宋_GB2312" w:cs="宋体"/>
          <w:b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（一）“三公”经费财政拨款支出决算总体情况说明</w:t>
      </w:r>
    </w:p>
    <w:p w14:paraId="4FAC5473">
      <w:pPr>
        <w:keepNext w:val="0"/>
        <w:keepLines w:val="0"/>
        <w:widowControl/>
        <w:suppressLineNumbers w:val="0"/>
        <w:ind w:firstLine="640" w:firstLineChars="200"/>
        <w:jc w:val="left"/>
        <w:rPr>
          <w:rFonts w:ascii="仿宋_GB2312" w:hAnsi="宋体" w:eastAsia="仿宋_GB2312" w:cs="宋体"/>
          <w:sz w:val="32"/>
          <w:szCs w:val="32"/>
        </w:rPr>
      </w:pPr>
      <w:bookmarkStart w:id="1" w:name="PO_part3A3B1C1DivNameYear1"/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徐闻县新寮镇中心小学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2024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1"/>
      <w:r>
        <w:rPr>
          <w:rFonts w:hint="eastAsia" w:ascii="仿宋_GB2312" w:hAnsi="宋体" w:eastAsia="仿宋_GB2312" w:cs="宋体"/>
          <w:sz w:val="32"/>
          <w:szCs w:val="32"/>
        </w:rPr>
        <w:t>年度“三公”经费财政拨款支出决算为</w:t>
      </w:r>
      <w:bookmarkStart w:id="2" w:name="PO_part3A3B1C1IncPercent6"/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0万元，完成全年预算0万元的0%（基数为0，不可比），比上年决算数增加0万元，增长0%（基数为0，不可比）。其中：因公出国（境）费支出决算为0万元，完成预算0万元的0%（基数为0， 不可比），比上年决算数增加0万元，增长0%（基数为0，不可 比）；公务用车购置及运行维护费支出决算为0万元，完成预算0万元的0%（基数为0，不可比），比上年决算数增加0万元，增长0%（基数为0，不可比）；其中：公务用车购置支出决算为0万元，完成预算0万元的0%（基数为0，不可比），比上年决算数增加0万元，增长0%（基数为0，不可比）；公务用车运行维护费支出决算为0万元，完成预算0万元的0%（基数为0，不可比），比上年决算数增加0万元，增长0%（基数为0，不可比）；公务接待费支出决算为0万元，完成预算0万元的0%（基数为0，不可比），比上年决算数增加0万元，增长0%（基数为0，不可比）。 </w:t>
      </w:r>
      <w:r>
        <w:rPr>
          <w:rFonts w:hint="eastAsia" w:ascii="仿宋_GB2312" w:hAnsi="宋体" w:eastAsia="仿宋_GB2312" w:cs="宋体"/>
          <w:sz w:val="32"/>
          <w:szCs w:val="32"/>
        </w:rPr>
        <w:t xml:space="preserve"> </w:t>
      </w:r>
      <w:bookmarkEnd w:id="2"/>
    </w:p>
    <w:p w14:paraId="1B0CC956">
      <w:pPr>
        <w:keepNext w:val="0"/>
        <w:keepLines w:val="0"/>
        <w:widowControl/>
        <w:suppressLineNumbers w:val="0"/>
        <w:ind w:firstLine="600" w:firstLineChars="200"/>
        <w:jc w:val="left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2024年度“三公”经费支出决算等于预算数的主要情况：本单位为事业单位，没有“三公”经费安排。 </w:t>
      </w:r>
    </w:p>
    <w:p w14:paraId="51FACE10">
      <w:pPr>
        <w:keepNext w:val="0"/>
        <w:keepLines w:val="0"/>
        <w:widowControl/>
        <w:suppressLineNumbers w:val="0"/>
        <w:ind w:firstLine="600" w:firstLineChars="200"/>
        <w:jc w:val="left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2024年度“三公”经费支出决算等于上年决算数的主要情况：本单位为事业单位，没有“三公”经费安排。 </w:t>
      </w:r>
    </w:p>
    <w:p w14:paraId="7CA8C0EF">
      <w:pPr>
        <w:ind w:firstLine="643" w:firstLineChars="200"/>
        <w:rPr>
          <w:rFonts w:hint="eastAsia" w:ascii="仿宋_GB2312" w:hAnsi="宋体" w:eastAsia="仿宋_GB2312" w:cs="宋体"/>
          <w:b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（二）“三公”经费财政拨款支出决算具体情况说明</w:t>
      </w:r>
    </w:p>
    <w:p w14:paraId="124127F1">
      <w:pPr>
        <w:keepNext w:val="0"/>
        <w:keepLines w:val="0"/>
        <w:widowControl/>
        <w:suppressLineNumbers w:val="0"/>
        <w:ind w:firstLine="640" w:firstLineChars="200"/>
        <w:jc w:val="left"/>
      </w:pPr>
      <w:bookmarkStart w:id="3" w:name="PO_part3A3B2Year1"/>
      <w:r>
        <w:rPr>
          <w:rFonts w:hint="eastAsia" w:ascii="仿宋_GB2312" w:hAnsi="宋体" w:eastAsia="仿宋_GB2312" w:cs="宋体"/>
          <w:sz w:val="32"/>
          <w:szCs w:val="32"/>
        </w:rPr>
        <w:t>2024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3"/>
      <w:r>
        <w:rPr>
          <w:rFonts w:hint="eastAsia" w:ascii="仿宋_GB2312" w:hAnsi="宋体" w:eastAsia="仿宋_GB2312" w:cs="宋体"/>
          <w:sz w:val="32"/>
          <w:szCs w:val="32"/>
        </w:rPr>
        <w:t>年度“三公”经费财政拨款支出决算中，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因公出国（境）费0万元，占0%；公务用车购置及运行维护费支出0万元，占0%；公务接待费支出0万元，占0%。具体情况如下： </w:t>
      </w:r>
    </w:p>
    <w:p w14:paraId="0DC046A1">
      <w:pPr>
        <w:keepNext w:val="0"/>
        <w:keepLines w:val="0"/>
        <w:widowControl/>
        <w:suppressLineNumbers w:val="0"/>
        <w:ind w:firstLine="600" w:firstLineChars="200"/>
        <w:jc w:val="left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1.因公出国（境）费支出0万元。全年使用财政拨款安排出国（境）团组0个、累计0人次。 </w:t>
      </w:r>
    </w:p>
    <w:p w14:paraId="0E051749">
      <w:pPr>
        <w:keepNext w:val="0"/>
        <w:keepLines w:val="0"/>
        <w:widowControl/>
        <w:suppressLineNumbers w:val="0"/>
        <w:ind w:firstLine="600" w:firstLineChars="200"/>
        <w:jc w:val="left"/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2.公务用车购置及运行维护费支出0万元，其中：公务用车购置支出为0万元，公务用车购置数0辆。公务用车运行维护费支出0万元，公务用车保有量为0辆，主要用于本单位为事业单位，没有公务车的使用及维护情况。</w:t>
      </w:r>
    </w:p>
    <w:p w14:paraId="6A200A71">
      <w:pPr>
        <w:keepNext w:val="0"/>
        <w:keepLines w:val="0"/>
        <w:widowControl/>
        <w:suppressLineNumbers w:val="0"/>
        <w:ind w:firstLine="600" w:firstLineChars="200"/>
        <w:jc w:val="left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3.公务接待费支出0万元，主要用于本单位为事业单位，没有公务接待，共接待国外、境外来访团组0个，来访外宾0人次；发生国内接待0次，接待人数共0人。本单位为事业单位，没有公务接待，更没有接待国外境外来访外宾。 </w:t>
      </w:r>
    </w:p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CB36A1"/>
    <w:rsid w:val="20104E18"/>
    <w:rsid w:val="202D3B9A"/>
    <w:rsid w:val="26215400"/>
    <w:rsid w:val="26811F3C"/>
    <w:rsid w:val="30BC0D4E"/>
    <w:rsid w:val="32DE300F"/>
    <w:rsid w:val="45B25BFB"/>
    <w:rsid w:val="5DCD7847"/>
    <w:rsid w:val="71DF523D"/>
    <w:rsid w:val="75CB3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1118</Words>
  <Characters>1190</Characters>
  <Lines>0</Lines>
  <Paragraphs>0</Paragraphs>
  <TotalTime>0</TotalTime>
  <ScaleCrop>false</ScaleCrop>
  <LinksUpToDate>false</LinksUpToDate>
  <CharactersWithSpaces>1207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2025-10-06T02:55:00Z</dcterms:created>
  <dc:creator>超</dc:creator>
  <cp:lastModifiedBy>枫叶舞秋山</cp:lastModifiedBy>
  <dcterms:modified xsi:type="dcterms:W3CDTF">2025-10-09T12:54:29Z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29C3D338A0F747439D9088CFFA86D4E6_11</vt:lpwstr>
  </property>
  <property fmtid="{D5CDD505-2E9C-101B-9397-08002B2CF9AE}" pid="4" name="KSOTemplateDocerSaveRecord">
    <vt:lpwstr>eyJoZGlkIjoiMjZmMzg5NTgzYjVjOWQ1MTE4MTc3ZTcyMTU5MzA1ZTQiLCJ1c2VySWQiOiIzMzcyOTk3NTQifQ==</vt:lpwstr>
  </property>
</Properties>
</file>