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1D7AA" w14:textId="77777777" w:rsidR="00B94AD5" w:rsidRDefault="00D1403E">
      <w:pPr>
        <w:jc w:val="center"/>
        <w:rPr>
          <w:rFonts w:ascii="宋体" w:eastAsia="宋体" w:hAnsi="宋体" w:cs="宋体"/>
          <w:b/>
          <w:bCs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 xml:space="preserve">  </w:t>
      </w:r>
    </w:p>
    <w:p w14:paraId="34A37F4E" w14:textId="598F8AF6" w:rsidR="00B94AD5" w:rsidRDefault="00D1403E">
      <w:pPr>
        <w:jc w:val="center"/>
        <w:rPr>
          <w:rFonts w:ascii="仿宋_GB2312" w:eastAsia="仿宋_GB2312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 xml:space="preserve"> </w:t>
      </w:r>
      <w:r>
        <w:rPr>
          <w:rFonts w:ascii="仿宋_GB2312" w:eastAsia="仿宋_GB2312" w:hAnsi="宋体" w:cs="宋体" w:hint="eastAsia"/>
          <w:b/>
          <w:sz w:val="44"/>
          <w:szCs w:val="44"/>
        </w:rPr>
        <w:t xml:space="preserve"> 2024年徐闻县</w:t>
      </w:r>
      <w:proofErr w:type="gramStart"/>
      <w:r>
        <w:rPr>
          <w:rFonts w:ascii="仿宋_GB2312" w:eastAsia="仿宋_GB2312" w:hAnsi="宋体" w:cs="宋体" w:hint="eastAsia"/>
          <w:b/>
          <w:sz w:val="44"/>
          <w:szCs w:val="44"/>
        </w:rPr>
        <w:t>曲界镇中心</w:t>
      </w:r>
      <w:proofErr w:type="gramEnd"/>
      <w:r>
        <w:rPr>
          <w:rFonts w:ascii="仿宋_GB2312" w:eastAsia="仿宋_GB2312" w:hAnsi="宋体" w:cs="宋体" w:hint="eastAsia"/>
          <w:b/>
          <w:sz w:val="44"/>
          <w:szCs w:val="44"/>
        </w:rPr>
        <w:t>小学“三公</w:t>
      </w:r>
      <w:r>
        <w:rPr>
          <w:rFonts w:ascii="仿宋_GB2312" w:eastAsia="仿宋_GB2312" w:hAnsi="宋体" w:cs="宋体"/>
          <w:b/>
          <w:sz w:val="44"/>
          <w:szCs w:val="44"/>
        </w:rPr>
        <w:t>”</w:t>
      </w:r>
      <w:r>
        <w:rPr>
          <w:rFonts w:ascii="仿宋_GB2312" w:eastAsia="仿宋_GB2312" w:hAnsi="宋体" w:cs="宋体" w:hint="eastAsia"/>
          <w:b/>
          <w:sz w:val="44"/>
          <w:szCs w:val="44"/>
        </w:rPr>
        <w:t>经费决算公开</w:t>
      </w:r>
    </w:p>
    <w:p w14:paraId="05AA9E84" w14:textId="77777777" w:rsidR="00B94AD5" w:rsidRDefault="00B94AD5">
      <w:pPr>
        <w:jc w:val="center"/>
        <w:rPr>
          <w:rFonts w:ascii="仿宋_GB2312" w:eastAsia="仿宋_GB2312" w:hAnsi="宋体" w:cs="宋体"/>
          <w:b/>
          <w:sz w:val="44"/>
          <w:szCs w:val="44"/>
        </w:rPr>
      </w:pPr>
    </w:p>
    <w:p w14:paraId="35F2358F" w14:textId="77777777" w:rsidR="00B94AD5" w:rsidRDefault="00B94AD5">
      <w:pPr>
        <w:jc w:val="center"/>
        <w:rPr>
          <w:rFonts w:ascii="仿宋_GB2312" w:eastAsia="仿宋_GB2312" w:hAnsi="宋体" w:cs="宋体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:rsidR="00B94AD5" w14:paraId="51C0E6D9" w14:textId="77777777">
        <w:trPr>
          <w:cantSplit/>
          <w:trHeight w:val="420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F763" w14:textId="77777777" w:rsidR="00B94AD5" w:rsidRDefault="00D1403E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B94AD5" w14:paraId="2F6BD10A" w14:textId="77777777">
        <w:trPr>
          <w:cantSplit/>
          <w:trHeight w:val="420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F647BD" w14:textId="77777777" w:rsidR="00B94AD5" w:rsidRDefault="00D1403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:rsidR="00B94AD5" w14:paraId="5762812E" w14:textId="77777777">
        <w:trPr>
          <w:cantSplit/>
          <w:trHeight w:val="420"/>
        </w:trPr>
        <w:tc>
          <w:tcPr>
            <w:tcW w:w="10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44F76" w14:textId="55BF4AAB" w:rsidR="00B94AD5" w:rsidRDefault="00D1403E">
            <w:pPr>
              <w:spacing w:line="288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bookmarkStart w:id="0" w:name="PO_part2DivName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bookmarkEnd w:id="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：徐闻县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曲界镇中心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2612A" w14:textId="77777777" w:rsidR="00B94AD5" w:rsidRDefault="00D1403E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单位：万元</w:t>
            </w:r>
          </w:p>
        </w:tc>
      </w:tr>
      <w:tr w:rsidR="00B94AD5" w14:paraId="1D80FE1B" w14:textId="77777777">
        <w:trPr>
          <w:cantSplit/>
          <w:trHeight w:val="420"/>
        </w:trPr>
        <w:tc>
          <w:tcPr>
            <w:tcW w:w="7093" w:type="dxa"/>
            <w:gridSpan w:val="6"/>
            <w:tcBorders>
              <w:top w:val="single" w:sz="4" w:space="0" w:color="auto"/>
            </w:tcBorders>
            <w:vAlign w:val="center"/>
          </w:tcPr>
          <w:p w14:paraId="6B6D10DB" w14:textId="77777777" w:rsidR="00B94AD5" w:rsidRDefault="00D140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</w:tcBorders>
            <w:vAlign w:val="center"/>
          </w:tcPr>
          <w:p w14:paraId="3C2BAD0C" w14:textId="77777777" w:rsidR="00B94AD5" w:rsidRDefault="00D140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</w:tr>
      <w:tr w:rsidR="00B94AD5" w14:paraId="7E3E098A" w14:textId="77777777">
        <w:trPr>
          <w:cantSplit/>
          <w:trHeight w:val="420"/>
        </w:trPr>
        <w:tc>
          <w:tcPr>
            <w:tcW w:w="1183" w:type="dxa"/>
            <w:vMerge w:val="restart"/>
            <w:vAlign w:val="center"/>
          </w:tcPr>
          <w:p w14:paraId="29F0A20A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0626D841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338A4D43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07ADDF4A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1BB9B470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184EA397" w14:textId="77777777" w:rsidR="00B94AD5" w:rsidRDefault="00D140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429628C1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3D21A698" w14:textId="77777777" w:rsidR="00B94AD5" w:rsidRDefault="00D140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</w:tr>
      <w:tr w:rsidR="00B94AD5" w14:paraId="6D1E2B04" w14:textId="77777777">
        <w:trPr>
          <w:cantSplit/>
          <w:trHeight w:val="420"/>
        </w:trPr>
        <w:tc>
          <w:tcPr>
            <w:tcW w:w="1183" w:type="dxa"/>
            <w:vMerge/>
          </w:tcPr>
          <w:p w14:paraId="70039CAC" w14:textId="77777777" w:rsidR="00B94AD5" w:rsidRDefault="00B94AD5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14:paraId="4A38F19C" w14:textId="77777777" w:rsidR="00B94AD5" w:rsidRDefault="00B94AD5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D49DFAD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57EC8C1A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736959D8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/>
          </w:tcPr>
          <w:p w14:paraId="5083F241" w14:textId="77777777" w:rsidR="00B94AD5" w:rsidRDefault="00B94AD5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14:paraId="05CDFA52" w14:textId="77777777" w:rsidR="00B94AD5" w:rsidRDefault="00B94AD5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14:paraId="68EBFA7E" w14:textId="77777777" w:rsidR="00B94AD5" w:rsidRDefault="00B94AD5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6EFDF3B7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6A203E7C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46959E65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/>
          </w:tcPr>
          <w:p w14:paraId="04470849" w14:textId="77777777" w:rsidR="00B94AD5" w:rsidRDefault="00B94AD5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B94AD5" w14:paraId="4E42314A" w14:textId="77777777">
        <w:trPr>
          <w:cantSplit/>
          <w:trHeight w:val="420"/>
        </w:trPr>
        <w:tc>
          <w:tcPr>
            <w:tcW w:w="1183" w:type="dxa"/>
            <w:vAlign w:val="center"/>
          </w:tcPr>
          <w:p w14:paraId="07C4178B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14:paraId="66443467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14:paraId="5D2058BD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14:paraId="7ED6ADD6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14:paraId="01E7A8FA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14:paraId="1E7B5419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14:paraId="28218258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14:paraId="5C68C9B6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14:paraId="14E47289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14:paraId="5C7C198D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14:paraId="7701D34D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14:paraId="4D45EE86" w14:textId="77777777" w:rsidR="00B94AD5" w:rsidRDefault="00D14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B94AD5" w14:paraId="531B11BC" w14:textId="77777777">
        <w:trPr>
          <w:cantSplit/>
          <w:trHeight w:val="420"/>
        </w:trPr>
        <w:tc>
          <w:tcPr>
            <w:tcW w:w="1183" w:type="dxa"/>
            <w:vAlign w:val="center"/>
          </w:tcPr>
          <w:p w14:paraId="77D264E3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4D5EABE3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1BE20D0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3F02F800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2FC129E7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61F6E8B1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3D00B007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0F93DC7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B78195F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59B24361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4F22B8D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71" w:type="dxa"/>
            <w:vAlign w:val="center"/>
          </w:tcPr>
          <w:p w14:paraId="6F7ACF0A" w14:textId="77777777" w:rsidR="00B94AD5" w:rsidRDefault="00D1403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</w:tr>
    </w:tbl>
    <w:p w14:paraId="5D62CBEC" w14:textId="77777777" w:rsidR="00B94AD5" w:rsidRDefault="00D1403E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 w14:textId="77777777" w:rsidR="00B94AD5" w:rsidRDefault="00B94AD5">
      <w:pPr>
        <w:widowControl/>
        <w:jc w:val="left"/>
        <w:rPr>
          <w:rFonts w:ascii="仿宋_GB2312" w:eastAsia="仿宋_GB2312" w:hAnsi="仿宋_GB2312" w:cs="仿宋_GB2312"/>
          <w:b/>
          <w:bCs/>
          <w:color w:val="525252"/>
          <w:spacing w:val="13"/>
          <w:kern w:val="0"/>
          <w:sz w:val="32"/>
          <w:szCs w:val="32"/>
          <w:lang w:bidi="ar"/>
        </w:rPr>
      </w:pPr>
    </w:p>
    <w:p w14:paraId="1399B1CD" w14:textId="77777777" w:rsidR="00B94AD5" w:rsidRDefault="00D1403E">
      <w:pPr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（一）“三公”经费财政拨款支出决算总体情况说明</w:t>
      </w:r>
    </w:p>
    <w:p w14:paraId="4FAC5473" w14:textId="29454A1A" w:rsidR="00B94AD5" w:rsidRDefault="00D1403E">
      <w:pPr>
        <w:widowControl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bookmarkStart w:id="1" w:name="PO_part3A3B1C1DivNameYear1"/>
      <w:r>
        <w:rPr>
          <w:rFonts w:ascii="仿宋_GB2312" w:eastAsia="仿宋_GB2312" w:hAnsi="宋体" w:cs="宋体" w:hint="eastAsia"/>
          <w:sz w:val="32"/>
          <w:szCs w:val="32"/>
        </w:rPr>
        <w:t>徐闻县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曲界镇中心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小学</w:t>
      </w:r>
      <w:r>
        <w:rPr>
          <w:rFonts w:ascii="仿宋_GB2312" w:eastAsia="仿宋_GB2312" w:hAnsi="宋体" w:cs="宋体" w:hint="eastAsia"/>
          <w:sz w:val="32"/>
          <w:szCs w:val="32"/>
        </w:rPr>
        <w:t>2024</w:t>
      </w:r>
      <w:r>
        <w:rPr>
          <w:rFonts w:ascii="仿宋_GB2312" w:eastAsia="仿宋_GB2312" w:hAnsi="宋体" w:cs="宋体" w:hint="eastAsia"/>
          <w:sz w:val="11"/>
          <w:szCs w:val="11"/>
        </w:rPr>
        <w:t xml:space="preserve"> </w:t>
      </w:r>
      <w:bookmarkEnd w:id="1"/>
      <w:r>
        <w:rPr>
          <w:rFonts w:ascii="仿宋_GB2312" w:eastAsia="仿宋_GB2312" w:hAnsi="宋体" w:cs="宋体" w:hint="eastAsia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万元，完成全年预算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，不可比）。其中：因公出国（境）费支出决算为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万元，完成预算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，不可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比）；公务用车购置及运行维护费支出决算为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万元，完成预算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，不可比）；其中：公务用车购置支出决算为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万元，完成预算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，不可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比）；公务用车运行维护费支出决算为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万元，完成预算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，不可比）；公务接待费支出决算为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万元，完成预算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bookmarkStart w:id="3" w:name="_GoBack"/>
      <w:bookmarkEnd w:id="3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，不可比）。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bookmarkEnd w:id="2"/>
    </w:p>
    <w:p w14:paraId="1B0CC956" w14:textId="77777777" w:rsidR="00B94AD5" w:rsidRDefault="00D1403E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2024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年度“三公”经费支出决算等于预算数的主要情况：本单位为事业单位，没有“三公”经费安排。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14:paraId="51FACE10" w14:textId="77777777" w:rsidR="00B94AD5" w:rsidRDefault="00D1403E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lastRenderedPageBreak/>
        <w:t>2024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年度“三公”经费支出决算等于上年决算数的主要情况：本单位为事业单位，没有“三公”经费安排。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14:paraId="7CA8C0EF" w14:textId="77777777" w:rsidR="00B94AD5" w:rsidRDefault="00D1403E">
      <w:pPr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（二）“三公”经费财政拨款支出决算具体情况说明</w:t>
      </w:r>
    </w:p>
    <w:p w14:paraId="124127F1" w14:textId="77777777" w:rsidR="00B94AD5" w:rsidRDefault="00D1403E">
      <w:pPr>
        <w:widowControl/>
        <w:ind w:firstLineChars="200" w:firstLine="640"/>
        <w:jc w:val="left"/>
      </w:pPr>
      <w:bookmarkStart w:id="4" w:name="PO_part3A3B2Year1"/>
      <w:r>
        <w:rPr>
          <w:rFonts w:ascii="仿宋_GB2312" w:eastAsia="仿宋_GB2312" w:hAnsi="宋体" w:cs="宋体" w:hint="eastAsia"/>
          <w:sz w:val="32"/>
          <w:szCs w:val="32"/>
        </w:rPr>
        <w:t>2024</w:t>
      </w:r>
      <w:r>
        <w:rPr>
          <w:rFonts w:ascii="仿宋_GB2312" w:eastAsia="仿宋_GB2312" w:hAnsi="宋体" w:cs="宋体" w:hint="eastAsia"/>
          <w:sz w:val="11"/>
          <w:szCs w:val="11"/>
        </w:rPr>
        <w:t xml:space="preserve"> </w:t>
      </w:r>
      <w:bookmarkEnd w:id="4"/>
      <w:r>
        <w:rPr>
          <w:rFonts w:ascii="仿宋_GB2312" w:eastAsia="仿宋_GB2312" w:hAnsi="宋体" w:cs="宋体" w:hint="eastAsia"/>
          <w:sz w:val="32"/>
          <w:szCs w:val="32"/>
        </w:rPr>
        <w:t>年度“三公”经费财政拨款支出决算中，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因公出国（境）费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；公务用车购置及运行维护费支出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；公务接待费支出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。具体情况如下：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14:paraId="0DC046A1" w14:textId="77777777" w:rsidR="00B94AD5" w:rsidRDefault="00D1403E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因公出国（境）费支出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万元。全年使用财政拨款安排出国（境）团组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个、累计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人次。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14:paraId="0E051749" w14:textId="77777777" w:rsidR="00B94AD5" w:rsidRDefault="00D1403E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公务用车购置及运行维护费支出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万元，其中：公务用车购置支出为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万元，公务用车购置数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辆。公务用车运行维护费支出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万元，公务用车保有量为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辆，主要用于本单位为事业单位，没有公务车的使用及维护情况。</w:t>
      </w:r>
    </w:p>
    <w:p w14:paraId="6A200A71" w14:textId="77777777" w:rsidR="00B94AD5" w:rsidRDefault="00D1403E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公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务接待费支出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万元，主要用于本单位为事业单位，没有公务接待，共接待国外、境外来访团组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个，来访外宾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人次；发生国内接待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次，接待人数共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人。本单位为事业单位，没有公务接待，更没有接待国外境外来访外宾。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sectPr w:rsidR="00B94A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CB36A1"/>
    <w:rsid w:val="00AA565D"/>
    <w:rsid w:val="00B94AD5"/>
    <w:rsid w:val="00D1403E"/>
    <w:rsid w:val="20104E18"/>
    <w:rsid w:val="202D3B9A"/>
    <w:rsid w:val="26811F3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4858C"/>
  <w15:docId w15:val="{585ABF28-7D55-4C67-BC32-008B0444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</dc:creator>
  <cp:lastModifiedBy>LENOVO</cp:lastModifiedBy>
  <cp:revision>3</cp:revision>
  <dcterms:created xsi:type="dcterms:W3CDTF">2025-10-10T07:31:00Z</dcterms:created>
  <dcterms:modified xsi:type="dcterms:W3CDTF">2025-10-10T07:33:00Z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