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2024年徐闻县前山中学“三公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前山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前山中学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46273BD3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52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2025-10-10T03:19:47Z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543375B4C6064432AF20ABBDE91289E2_13</vt:lpwstr>
  </property>
  <property fmtid="{D5CDD505-2E9C-101B-9397-08002B2CF9AE}" pid="4" name="KSOTemplateDocerSaveRecord">
    <vt:lpwstr>eyJoZGlkIjoiODc0OGYxMTM1NDAyYTNlMjJjNmI0MGJlZGZkNjZlNTMifQ==</vt:lpwstr>
  </property>
</Properties>
</file>