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4" w:name="_GoBack"/>
      <w:bookmarkEnd w:id="4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徐闻县锦和中学“三公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徐闻县锦和中学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徐闻县锦和中学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3C27676C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3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叶汉江</cp:lastModifiedBy>
  <dcterms:modified xsi:type="dcterms:W3CDTF">2025-10-10T11:22:11Z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14CCE9F25FED4C87AA90340D0908E6B7_13</vt:lpwstr>
  </property>
  <property fmtid="{D5CDD505-2E9C-101B-9397-08002B2CF9AE}" pid="4" name="KSOTemplateDocerSaveRecord">
    <vt:lpwstr>eyJoZGlkIjoiNTc5ODIwODExMmRmNTU0MDNjOTgwZmM2ZWU5ZmRhYTEiLCJ1c2VySWQiOiIzOTQwODg1MjgifQ==</vt:lpwstr>
  </property>
</Properties>
</file>