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56AAC964">
      <w:pPr>
        <w:jc w:val="center"/>
        <w:rPr>
          <w:rFonts w:hint="eastAsia"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  <w:lang w:eastAsia="zh-CN"/>
        </w:rPr>
        <w:t>湛江市</w:t>
      </w:r>
      <w:r>
        <w:rPr>
          <w:rFonts w:hint="eastAsia" w:ascii="宋体" w:hAnsi="宋体" w:eastAsia="宋体" w:cs="宋体"/>
          <w:b/>
          <w:sz w:val="36"/>
          <w:szCs w:val="44"/>
        </w:rPr>
        <w:t xml:space="preserve"> 2024 年市级财政城乡居民基本医疗保险</w:t>
      </w: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</w:rPr>
        <w:t>补助资金转移支付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7E843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根据 2024 年市级财政预算安排及市医保局提供的资金分配方案（湛医保函2024［105]号），现下达2024年市级财政城乡居民基本医疗保险补助资金20424万元，下达1796万元到达徐闻县，用于对参保人员的补助，巩固参保率，稳步提高保障水平，实现基金收支平衡。</w:t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 w14:paraId="2DDB3121">
      <w:pPr>
        <w:ind w:firstLine="560" w:firstLineChars="200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资金到位率100%，市财政应配套补助资金（50.25元/人.年）已全部支出。</w:t>
      </w:r>
    </w:p>
    <w:p w14:paraId="1B5974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</w:p>
    <w:p w14:paraId="6D93A5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楷体_GB2312" w:hAnsi="楷体_GB2312" w:eastAsia="楷体_GB2312" w:cs="楷体_GB2312"/>
          <w:b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资金管理严格按照相关文件执行，预算执行率100%，项目资金使用符合规范，资金监管措施有力。</w:t>
      </w:r>
    </w:p>
    <w:p w14:paraId="0835802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 w14:paraId="3B5C8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通过持续改进工作方法，不断创新管理机制，广泛开展政策宣传，全县城乡居民医保工作持续保持高参保率、高受益面、高补偿水平的良好态势，有效减轻了患者的就医负担，极大地缓解了群众因病致贫、返贫现象，群众整体满意度不断提高。</w:t>
      </w:r>
    </w:p>
    <w:p w14:paraId="3B63E5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 w14:paraId="1C38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项目决策</w:t>
      </w:r>
    </w:p>
    <w:p w14:paraId="17A0C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坚决贯彻中央医疗保障制度改革有关城乡居民医保决策部署，执行预算绩效管理和资金管理办法，决策程序合规完整。</w:t>
      </w:r>
    </w:p>
    <w:p w14:paraId="40FBB2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2.过程管理</w:t>
      </w:r>
    </w:p>
    <w:p w14:paraId="5C038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严格财务管理制度。依据《社会保险基金会计制度》、《社会保险基金财务管理制度》、相关文件精神，制定各项管理制度。实行财政社保专户和支出户收支两条线管理，设立会计、出纳、审核等必要的财务岗位，做到专职专人负责；及时准确地编制财务报表和统计报表，积极推进业务系统与财务系统的无缝对接,有效地提高数据的准确性，确保基金安全。</w:t>
      </w:r>
    </w:p>
    <w:p w14:paraId="74A100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坚持高压态势抓执法。聚焦医保基金使用突出问题，严肃查处、打击欺诈骗保等行为，扎实开展医保信息化、标准化建设。</w:t>
      </w:r>
    </w:p>
    <w:p w14:paraId="36A6F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3.项目产出</w:t>
      </w:r>
    </w:p>
    <w:p w14:paraId="69556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（1）</w:t>
      </w:r>
      <w:r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  <w:t>数量指标</w:t>
      </w:r>
    </w:p>
    <w:p w14:paraId="4963F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2024年度市下达我县城乡居民基本医疗保险参保任务数为539000人，我县完成征收扣款486306人、资助特殊群众参保42995人，总计完成参保529301人，完成率98.39%。</w:t>
      </w:r>
    </w:p>
    <w:p w14:paraId="51214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（2）质量指标</w:t>
      </w:r>
    </w:p>
    <w:p w14:paraId="43DDE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以常住人口数为基数计算的基本参保综合参保率≥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95％，参保人政策范围内住院费用报销比例70%，参保人住院费用实际报销比例大于等于55%，基金滚存结余可支配3个月。</w:t>
      </w:r>
    </w:p>
    <w:p w14:paraId="3F548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（3）</w:t>
      </w:r>
      <w:r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  <w:t>时效指标</w:t>
      </w:r>
    </w:p>
    <w:p w14:paraId="22E502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2024年，本项目按实施方案的要求，将各级补助资金拨付（上解）100%及时到位，资金管理工作做到了严谨有序，保证了年度内项目良好进行。</w:t>
      </w:r>
    </w:p>
    <w:p w14:paraId="16122E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4.项目效益</w:t>
      </w:r>
    </w:p>
    <w:p w14:paraId="61D91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多措并举，坚守惠民便民“主阵地”，提高参保对象的服务满意度和政策知晓率。</w:t>
      </w:r>
    </w:p>
    <w:p w14:paraId="65277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聚焦“看病贵”难题，推进药品耗材集采落实落地。</w:t>
      </w:r>
    </w:p>
    <w:p w14:paraId="43262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紧盯“就近办”需求，实现特门特药乡镇（街道）全覆盖。紧密结合“我为群众办实事”活动，将医保服务触角最大限度向群众身边延伸，乡镇（街道）实现特门药店全覆盖，惠及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更多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患者。</w:t>
      </w:r>
    </w:p>
    <w:p w14:paraId="72033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有效衔接乡村振兴。健全防范化解因病返贫致贫长效机制，医疗救助政策落实率达到100%，一站式结算实现全覆盖；在澄潭江镇洲田村打造医保服务实践基地，有针对性地开展医保政策宣传、答疑解惑等，满足村民多样化医疗保障需求；全力推进全民参保，应保尽保，高效助力乡村振兴。</w:t>
      </w:r>
    </w:p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5D720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（一）偏离绩效目标的原因</w:t>
      </w:r>
    </w:p>
    <w:p w14:paraId="71E334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我县城居参保人员老年人占比较大，由于老年人体弱多病、医疗需求大，而居民医保的筹资标准有限，因此造成基金结余逐年降低。二是医疗机构滥用药物、超标检查等行为一定程度上存在，基金监管有待加强。</w:t>
      </w:r>
    </w:p>
    <w:p w14:paraId="422EE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（二）</w:t>
      </w:r>
      <w:r>
        <w:rPr>
          <w:rFonts w:hint="eastAsia" w:ascii="仿宋_GB2312"/>
          <w:szCs w:val="32"/>
        </w:rPr>
        <w:t>下一步改进措施</w:t>
      </w:r>
    </w:p>
    <w:p w14:paraId="77E3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1.加快城乡居民医保基金市级、省级统筹步伐，提高基金统筹级次，增强抗风险能力。</w:t>
      </w:r>
    </w:p>
    <w:p w14:paraId="00172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2.进一步推进按病种分值付费改革工作，确保基金收支平衡。</w:t>
      </w:r>
    </w:p>
    <w:p w14:paraId="1E573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3.强化基金监管，提高基金使用效益。通过细化、量化指标监控体系，引导合理用药、合理治疗、合理检查，制止不规范的医疗服务行为，防止医疗费用浪费，抑制医疗消费过快增长。</w:t>
      </w:r>
    </w:p>
    <w:p w14:paraId="3517BAB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1C968CE0">
      <w:pPr>
        <w:numPr>
          <w:ilvl w:val="0"/>
          <w:numId w:val="0"/>
        </w:numPr>
        <w:ind w:firstLine="560" w:firstLineChars="200"/>
        <w:rPr>
          <w:rFonts w:hint="default" w:ascii="黑体" w:hAnsi="黑体" w:eastAsia="黑体" w:cs="黑体"/>
          <w:bCs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公开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1E8060F6-0FCD-4B3F-99C1-D9C7B7C1E74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7239458-9A3F-4870-91E7-5C87995F235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B7D76AC-7D8F-4B93-A6A4-EE16933A8B4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780C16E-0482-4EB2-8A2F-DD3D75B118E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A72DF68-85CD-4DB0-AAF6-F7B4C8DC0AD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C50F2"/>
    <w:multiLevelType w:val="singleLevel"/>
    <w:tmpl w:val="A0FC50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8CA353"/>
    <w:multiLevelType w:val="singleLevel"/>
    <w:tmpl w:val="F48C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89979DE"/>
    <w:rsid w:val="093F7119"/>
    <w:rsid w:val="09E965F2"/>
    <w:rsid w:val="0B212DFC"/>
    <w:rsid w:val="12A77EA5"/>
    <w:rsid w:val="13872D8F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F1919B2"/>
    <w:rsid w:val="31F95CDC"/>
    <w:rsid w:val="32552976"/>
    <w:rsid w:val="33F20F2A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FE0696A"/>
    <w:rsid w:val="53061015"/>
    <w:rsid w:val="55673508"/>
    <w:rsid w:val="565F3DA6"/>
    <w:rsid w:val="59595A6F"/>
    <w:rsid w:val="599330CA"/>
    <w:rsid w:val="60D5009F"/>
    <w:rsid w:val="660721C9"/>
    <w:rsid w:val="661E6C75"/>
    <w:rsid w:val="66512402"/>
    <w:rsid w:val="66E85616"/>
    <w:rsid w:val="67F75FF5"/>
    <w:rsid w:val="681D4831"/>
    <w:rsid w:val="692E4B19"/>
    <w:rsid w:val="69513EF7"/>
    <w:rsid w:val="6B571085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CC7CA5"/>
    <w:rsid w:val="78E91F95"/>
    <w:rsid w:val="790627AD"/>
    <w:rsid w:val="798563D4"/>
    <w:rsid w:val="7ADC59FA"/>
    <w:rsid w:val="7DD4729D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1475</Words>
  <Characters>1561</Characters>
  <Lines>22</Lines>
  <Paragraphs>21</Paragraphs>
  <TotalTime>56</TotalTime>
  <ScaleCrop>false</ScaleCrop>
  <LinksUpToDate>false</LinksUpToDate>
  <CharactersWithSpaces>1565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 荃欣</cp:lastModifiedBy>
  <cp:lastPrinted>2025-02-25T09:36:00Z</cp:lastPrinted>
  <dcterms:modified xsi:type="dcterms:W3CDTF">2025-05-13T01:27:52Z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eyJoZGlkIjoiYTc5NjQwODIzYzQwNjIxMDkzY2JiZTM4NDUyYTc2YzgiLCJ1c2VySWQiOiIyNDg0MDgzMzEifQ==</vt:lpwstr>
  </property>
</Properties>
</file>