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2025年徐闻县城市管理和综合执法局（本级）“三公”经费预算公开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徐闻县城市管理和综合执法局（本级）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39.11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1830FD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10.2万元，比上年增加0万元，增长0%，主要原因是与上年持平，无增减变化。其中：因公出国（境）费0万元，比上年增加0万元，增长0%，主要原因是与上年持平，无增减变化；公务用车购置及运行维护费8.4万元（公务用车购置费0万元，比上年增加0万元；公务用车运行维护费8.4万元，比上年增加0万元。）比上年增加0万元，增长0%，主要原因是与上年持平，无增减变化；公务接待费1.8万元，比上年增加0万元，增长0%，主要原因是与上年持平，无增减变化。</w:t>
      </w: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295F39BB"/>
    <w:rsid w:val="3C686A92"/>
    <w:rsid w:val="3C6A7287"/>
    <w:rsid w:val="401C4E1F"/>
    <w:rsid w:val="43F433D6"/>
    <w:rsid w:val="47EB3D8E"/>
    <w:rsid w:val="48D36AED"/>
    <w:rsid w:val="4C2F6590"/>
    <w:rsid w:val="4CCB3D46"/>
    <w:rsid w:val="5B9405A2"/>
    <w:rsid w:val="61C277CE"/>
    <w:rsid w:val="64F02C05"/>
    <w:rsid w:val="689C4DAA"/>
    <w:rsid w:val="69102526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566</Characters>
  <Lines>0</Lines>
  <Paragraphs>0</Paragraphs>
  <TotalTime>9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2025-05-12T08:39:18Z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3C1561C097B340238FD426F74199E949_13</vt:lpwstr>
  </property>
  <property fmtid="{D5CDD505-2E9C-101B-9397-08002B2CF9AE}" pid="4" name="KSOTemplateDocerSaveRecord">
    <vt:lpwstr>eyJoZGlkIjoiMmM1YTNkOGMxODQzYzY3NjJkYmNiZjFiN2JlMDllN2MifQ==</vt:lpwstr>
  </property>
</Properties>
</file>