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CC6B9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38C8DF6">
      <w:pPr>
        <w:framePr w:w="948" w:wrap="auto" w:vAnchor="margin" w:hAnchor="text" w:x="772" w:y="849"/>
        <w:widowControl w:val="0"/>
        <w:autoSpaceDE w:val="0"/>
        <w:autoSpaceDN w:val="0"/>
        <w:spacing w:before="0" w:after="0" w:line="235" w:lineRule="exact"/>
        <w:ind w:left="0" w:right="0" w:firstLine="0"/>
        <w:jc w:val="left"/>
        <w:rPr>
          <w:rFonts w:ascii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附件5</w:t>
      </w:r>
    </w:p>
    <w:p w14:paraId="30EE65B8">
      <w:pPr>
        <w:framePr w:w="5023" w:wrap="auto" w:vAnchor="margin" w:hAnchor="text" w:x="6197" w:y="1216"/>
        <w:widowControl w:val="0"/>
        <w:autoSpaceDE w:val="0"/>
        <w:autoSpaceDN w:val="0"/>
        <w:spacing w:before="0" w:after="0" w:line="336" w:lineRule="exact"/>
        <w:ind w:left="0" w:right="0" w:firstLine="0"/>
        <w:jc w:val="left"/>
        <w:rPr>
          <w:rFonts w:ascii="宋体"/>
          <w:color w:val="000000"/>
          <w:spacing w:val="0"/>
          <w:sz w:val="34"/>
        </w:rPr>
      </w:pPr>
      <w:r>
        <w:rPr>
          <w:rFonts w:ascii="宋体" w:hAnsi="宋体" w:cs="宋体"/>
          <w:color w:val="000000"/>
          <w:spacing w:val="0"/>
          <w:sz w:val="34"/>
        </w:rPr>
        <w:t>部门整体支出绩效评价评分表</w:t>
      </w:r>
    </w:p>
    <w:p w14:paraId="5C0708B1">
      <w:pPr>
        <w:framePr w:w="824" w:wrap="auto" w:vAnchor="margin" w:hAnchor="text" w:x="772" w:y="1671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单位：</w:t>
      </w:r>
    </w:p>
    <w:p w14:paraId="28EBA906">
      <w:pPr>
        <w:framePr w:w="1106" w:wrap="auto" w:vAnchor="margin" w:hAnchor="text" w:x="1889" w:y="1952"/>
        <w:widowControl w:val="0"/>
        <w:autoSpaceDE w:val="0"/>
        <w:autoSpaceDN w:val="0"/>
        <w:spacing w:before="0" w:after="0" w:line="202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评价指标</w:t>
      </w:r>
    </w:p>
    <w:p w14:paraId="11ABEF52">
      <w:pPr>
        <w:framePr w:w="1917" w:wrap="auto" w:vAnchor="margin" w:hAnchor="text" w:x="932" w:y="2321"/>
        <w:widowControl w:val="0"/>
        <w:autoSpaceDE w:val="0"/>
        <w:autoSpaceDN w:val="0"/>
        <w:spacing w:before="0" w:after="0" w:line="175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一级指标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二级指标</w:t>
      </w:r>
    </w:p>
    <w:p w14:paraId="3E28B424">
      <w:pPr>
        <w:framePr w:w="1917" w:wrap="auto" w:vAnchor="margin" w:hAnchor="text" w:x="932" w:y="2321"/>
        <w:widowControl w:val="0"/>
        <w:autoSpaceDE w:val="0"/>
        <w:autoSpaceDN w:val="0"/>
        <w:spacing w:before="54" w:after="0" w:line="175" w:lineRule="exact"/>
        <w:ind w:left="140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权</w:t>
      </w:r>
    </w:p>
    <w:p w14:paraId="0CAAFA46">
      <w:pPr>
        <w:framePr w:w="971" w:wrap="auto" w:vAnchor="margin" w:hAnchor="text" w:x="2888" w:y="2321"/>
        <w:widowControl w:val="0"/>
        <w:autoSpaceDE w:val="0"/>
        <w:autoSpaceDN w:val="0"/>
        <w:spacing w:before="0" w:after="0" w:line="175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三级指标</w:t>
      </w:r>
    </w:p>
    <w:p w14:paraId="21A05675">
      <w:pPr>
        <w:framePr w:w="1106" w:wrap="auto" w:vAnchor="margin" w:hAnchor="text" w:x="5563" w:y="2384"/>
        <w:widowControl w:val="0"/>
        <w:autoSpaceDE w:val="0"/>
        <w:autoSpaceDN w:val="0"/>
        <w:spacing w:before="0" w:after="0" w:line="202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指标说明</w:t>
      </w:r>
    </w:p>
    <w:p w14:paraId="7B203522">
      <w:pPr>
        <w:framePr w:w="1106" w:wrap="auto" w:vAnchor="margin" w:hAnchor="text" w:x="10892" w:y="2384"/>
        <w:widowControl w:val="0"/>
        <w:autoSpaceDE w:val="0"/>
        <w:autoSpaceDN w:val="0"/>
        <w:spacing w:before="0" w:after="0" w:line="202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评分标准</w:t>
      </w:r>
    </w:p>
    <w:p w14:paraId="7CD3538E">
      <w:pPr>
        <w:framePr w:w="1665" w:wrap="auto" w:vAnchor="margin" w:hAnchor="text" w:x="14583" w:y="2384"/>
        <w:widowControl w:val="0"/>
        <w:autoSpaceDE w:val="0"/>
        <w:autoSpaceDN w:val="0"/>
        <w:spacing w:before="0" w:after="0" w:line="202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扣分说明</w:t>
      </w:r>
      <w:r>
        <w:rPr>
          <w:rFonts w:ascii="Times New Roman"/>
          <w:color w:val="000000"/>
          <w:spacing w:val="106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得分</w:t>
      </w:r>
    </w:p>
    <w:p w14:paraId="528671F1">
      <w:pPr>
        <w:framePr w:w="620" w:wrap="auto" w:vAnchor="margin" w:hAnchor="text" w:x="1386" w:y="2652"/>
        <w:widowControl w:val="0"/>
        <w:autoSpaceDE w:val="0"/>
        <w:autoSpaceDN w:val="0"/>
        <w:spacing w:before="0" w:after="0" w:line="175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权重</w:t>
      </w:r>
    </w:p>
    <w:p w14:paraId="19A2DCD8">
      <w:pPr>
        <w:framePr w:w="620" w:wrap="auto" w:vAnchor="margin" w:hAnchor="text" w:x="1386" w:y="2652"/>
        <w:widowControl w:val="0"/>
        <w:autoSpaceDE w:val="0"/>
        <w:autoSpaceDN w:val="0"/>
        <w:spacing w:before="27" w:after="0" w:line="175" w:lineRule="exact"/>
        <w:ind w:left="44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0"/>
          <w:sz w:val="18"/>
        </w:rPr>
        <w:t>(%)</w:t>
      </w:r>
    </w:p>
    <w:p w14:paraId="1B69269B">
      <w:pPr>
        <w:framePr w:w="445" w:wrap="auto" w:vAnchor="margin" w:hAnchor="text" w:x="1932" w:y="2652"/>
        <w:widowControl w:val="0"/>
        <w:autoSpaceDE w:val="0"/>
        <w:autoSpaceDN w:val="0"/>
        <w:spacing w:before="0" w:after="0" w:line="175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名</w:t>
      </w:r>
    </w:p>
    <w:p w14:paraId="76CBBA3B">
      <w:pPr>
        <w:framePr w:w="445" w:wrap="auto" w:vAnchor="margin" w:hAnchor="text" w:x="1932" w:y="2652"/>
        <w:widowControl w:val="0"/>
        <w:autoSpaceDE w:val="0"/>
        <w:autoSpaceDN w:val="0"/>
        <w:spacing w:before="27" w:after="0" w:line="175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称</w:t>
      </w:r>
    </w:p>
    <w:p w14:paraId="69F85BE8">
      <w:pPr>
        <w:framePr w:w="620" w:wrap="auto" w:vAnchor="margin" w:hAnchor="text" w:x="3446" w:y="2652"/>
        <w:widowControl w:val="0"/>
        <w:autoSpaceDE w:val="0"/>
        <w:autoSpaceDN w:val="0"/>
        <w:spacing w:before="0" w:after="0" w:line="175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权重</w:t>
      </w:r>
    </w:p>
    <w:p w14:paraId="6744CFE8">
      <w:pPr>
        <w:framePr w:w="620" w:wrap="auto" w:vAnchor="margin" w:hAnchor="text" w:x="3446" w:y="2652"/>
        <w:widowControl w:val="0"/>
        <w:autoSpaceDE w:val="0"/>
        <w:autoSpaceDN w:val="0"/>
        <w:spacing w:before="27" w:after="0" w:line="175" w:lineRule="exact"/>
        <w:ind w:left="44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0"/>
          <w:sz w:val="18"/>
        </w:rPr>
        <w:t>(%)</w:t>
      </w:r>
    </w:p>
    <w:p w14:paraId="703292A0">
      <w:pPr>
        <w:framePr w:w="620" w:wrap="auto" w:vAnchor="margin" w:hAnchor="text" w:x="840" w:y="2753"/>
        <w:widowControl w:val="0"/>
        <w:autoSpaceDE w:val="0"/>
        <w:autoSpaceDN w:val="0"/>
        <w:spacing w:before="0" w:after="0" w:line="175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名称</w:t>
      </w:r>
    </w:p>
    <w:p w14:paraId="2A2BAA26">
      <w:pPr>
        <w:framePr w:w="533" w:wrap="auto" w:vAnchor="margin" w:hAnchor="text" w:x="2289" w:y="2753"/>
        <w:widowControl w:val="0"/>
        <w:autoSpaceDE w:val="0"/>
        <w:autoSpaceDN w:val="0"/>
        <w:spacing w:before="0" w:after="0" w:line="175" w:lineRule="exact"/>
        <w:ind w:left="44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重</w:t>
      </w:r>
    </w:p>
    <w:p w14:paraId="11F93952">
      <w:pPr>
        <w:framePr w:w="533" w:wrap="auto" w:vAnchor="margin" w:hAnchor="text" w:x="2289" w:y="2753"/>
        <w:widowControl w:val="0"/>
        <w:autoSpaceDE w:val="0"/>
        <w:autoSpaceDN w:val="0"/>
        <w:spacing w:before="27" w:after="0" w:line="175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0"/>
          <w:sz w:val="18"/>
        </w:rPr>
        <w:t>(%)</w:t>
      </w:r>
    </w:p>
    <w:p w14:paraId="6D07C15F">
      <w:pPr>
        <w:framePr w:w="620" w:wrap="auto" w:vAnchor="margin" w:hAnchor="text" w:x="2837" w:y="2753"/>
        <w:widowControl w:val="0"/>
        <w:autoSpaceDE w:val="0"/>
        <w:autoSpaceDN w:val="0"/>
        <w:spacing w:before="0" w:after="0" w:line="175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名称</w:t>
      </w:r>
    </w:p>
    <w:p w14:paraId="52BBC17F">
      <w:pPr>
        <w:framePr w:w="9480" w:wrap="auto" w:vAnchor="margin" w:hAnchor="text" w:x="3884" w:y="3170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主要考核是否成立自评工作小组（小组人数不符合要求的视为</w:t>
      </w:r>
      <w:r>
        <w:rPr>
          <w:rFonts w:ascii="宋体"/>
          <w:color w:val="000000"/>
          <w:spacing w:val="80"/>
          <w:sz w:val="15"/>
        </w:rPr>
        <w:t xml:space="preserve"> </w:t>
      </w:r>
      <w:r>
        <w:rPr>
          <w:rFonts w:ascii="宋体" w:hAnsi="宋体" w:cs="宋体"/>
          <w:color w:val="000000"/>
          <w:spacing w:val="0"/>
          <w:sz w:val="15"/>
        </w:rPr>
        <w:t>1.成立自评工作小组且人数和结构符合规定的，得3分；</w:t>
      </w:r>
    </w:p>
    <w:p w14:paraId="5A0B26EC">
      <w:pPr>
        <w:framePr w:w="9480" w:wrap="auto" w:vAnchor="margin" w:hAnchor="text" w:x="3884" w:y="3170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未成立小组）：自评工作评价小组一般3人以上，由主管领导、</w:t>
      </w:r>
      <w:r>
        <w:rPr>
          <w:rFonts w:ascii="宋体"/>
          <w:color w:val="000000"/>
          <w:spacing w:val="4"/>
          <w:sz w:val="15"/>
        </w:rPr>
        <w:t xml:space="preserve"> </w:t>
      </w:r>
      <w:r>
        <w:rPr>
          <w:rFonts w:ascii="宋体" w:hAnsi="宋体" w:cs="宋体"/>
          <w:color w:val="000000"/>
          <w:spacing w:val="0"/>
          <w:sz w:val="15"/>
        </w:rPr>
        <w:t>2.成立自评工作小组，但人数或结构不符合规定的，得1分；</w:t>
      </w:r>
    </w:p>
    <w:p w14:paraId="23057A6B">
      <w:pPr>
        <w:framePr w:w="830" w:wrap="auto" w:vAnchor="margin" w:hAnchor="text" w:x="2710" w:y="326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组织建立</w:t>
      </w:r>
    </w:p>
    <w:p w14:paraId="236D22D7">
      <w:pPr>
        <w:framePr w:w="830" w:wrap="auto" w:vAnchor="margin" w:hAnchor="text" w:x="2710" w:y="3264"/>
        <w:widowControl w:val="0"/>
        <w:autoSpaceDE w:val="0"/>
        <w:autoSpaceDN w:val="0"/>
        <w:spacing w:before="39" w:after="0" w:line="151" w:lineRule="exact"/>
        <w:ind w:left="151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情况</w:t>
      </w:r>
    </w:p>
    <w:p w14:paraId="61D9E828">
      <w:pPr>
        <w:framePr w:w="301" w:wrap="auto" w:vAnchor="margin" w:hAnchor="text" w:x="3584" w:y="3359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3</w:t>
      </w:r>
    </w:p>
    <w:p w14:paraId="6FB375C1">
      <w:pPr>
        <w:framePr w:w="301" w:wrap="auto" w:vAnchor="margin" w:hAnchor="text" w:x="15709" w:y="3359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3</w:t>
      </w:r>
    </w:p>
    <w:p w14:paraId="1F732916">
      <w:pPr>
        <w:framePr w:w="301" w:wrap="auto" w:vAnchor="margin" w:hAnchor="text" w:x="15709" w:y="3359"/>
        <w:widowControl w:val="0"/>
        <w:autoSpaceDE w:val="0"/>
        <w:autoSpaceDN w:val="0"/>
        <w:spacing w:before="412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4</w:t>
      </w:r>
    </w:p>
    <w:p w14:paraId="5C562863">
      <w:pPr>
        <w:framePr w:w="4521" w:wrap="auto" w:vAnchor="margin" w:hAnchor="text" w:x="3884" w:y="3549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财务人员和其他人员组成，需提供有关文件作为佐证材料。</w:t>
      </w:r>
    </w:p>
    <w:p w14:paraId="24DFA517">
      <w:pPr>
        <w:framePr w:w="2782" w:wrap="auto" w:vAnchor="margin" w:hAnchor="text" w:x="8121" w:y="3549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3.未成立自评工作小组的，不得分。</w:t>
      </w:r>
    </w:p>
    <w:p w14:paraId="2FEC6D69">
      <w:pPr>
        <w:framePr w:w="830" w:wrap="auto" w:vAnchor="margin" w:hAnchor="text" w:x="2665" w:y="3733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自评材料</w:t>
      </w:r>
    </w:p>
    <w:p w14:paraId="66DC7B97">
      <w:pPr>
        <w:framePr w:w="830" w:wrap="auto" w:vAnchor="margin" w:hAnchor="text" w:x="2665" w:y="3733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报送及时</w:t>
      </w:r>
    </w:p>
    <w:p w14:paraId="0F14807E">
      <w:pPr>
        <w:framePr w:w="301" w:wrap="auto" w:vAnchor="margin" w:hAnchor="text" w:x="3584" w:y="3922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5</w:t>
      </w:r>
    </w:p>
    <w:p w14:paraId="5C2FD927">
      <w:pPr>
        <w:framePr w:w="301" w:wrap="auto" w:vAnchor="margin" w:hAnchor="text" w:x="3584" w:y="3922"/>
        <w:widowControl w:val="0"/>
        <w:autoSpaceDE w:val="0"/>
        <w:autoSpaceDN w:val="0"/>
        <w:spacing w:before="652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5</w:t>
      </w:r>
    </w:p>
    <w:p w14:paraId="72F0D800">
      <w:pPr>
        <w:framePr w:w="4347" w:wrap="auto" w:vAnchor="margin" w:hAnchor="text" w:x="3884" w:y="3922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主要考核单位是否在规定时间内完成自评材料报送工作。</w:t>
      </w:r>
    </w:p>
    <w:p w14:paraId="2E990CAA">
      <w:pPr>
        <w:framePr w:w="6260" w:wrap="auto" w:vAnchor="margin" w:hAnchor="text" w:x="8121" w:y="3922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在规定时间内完成自评材料报送工作得5分，未在规定时间内完成报送工作计0分。</w:t>
      </w:r>
    </w:p>
    <w:p w14:paraId="50441581">
      <w:pPr>
        <w:framePr w:w="12089" w:wrap="auto" w:vAnchor="margin" w:hAnchor="text" w:x="3884" w:y="4346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主要考核自评材料是否真实；表格填写内容是否齐全，是否缺</w:t>
      </w:r>
      <w:r>
        <w:rPr>
          <w:rFonts w:ascii="宋体"/>
          <w:color w:val="000000"/>
          <w:spacing w:val="80"/>
          <w:sz w:val="15"/>
        </w:rPr>
        <w:t xml:space="preserve"> </w:t>
      </w:r>
      <w:r>
        <w:rPr>
          <w:rFonts w:ascii="宋体" w:hAnsi="宋体" w:cs="宋体"/>
          <w:color w:val="000000"/>
          <w:spacing w:val="0"/>
          <w:sz w:val="15"/>
        </w:rPr>
        <w:t>1.表格内容填写真实、齐全，得1分；</w:t>
      </w:r>
    </w:p>
    <w:p w14:paraId="4C10DC8D">
      <w:pPr>
        <w:framePr w:w="12089" w:wrap="auto" w:vAnchor="margin" w:hAnchor="text" w:x="3884" w:y="4346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漏或不对应；自评报告的内容是否全面详实；自评评分表自评</w:t>
      </w:r>
      <w:r>
        <w:rPr>
          <w:rFonts w:ascii="宋体"/>
          <w:color w:val="000000"/>
          <w:spacing w:val="80"/>
          <w:sz w:val="15"/>
        </w:rPr>
        <w:t xml:space="preserve"> </w:t>
      </w:r>
      <w:r>
        <w:rPr>
          <w:rFonts w:ascii="宋体" w:hAnsi="宋体" w:cs="宋体"/>
          <w:color w:val="000000"/>
          <w:spacing w:val="0"/>
          <w:sz w:val="15"/>
        </w:rPr>
        <w:t>2.自评报告内容真实、详细，得1分；</w:t>
      </w:r>
    </w:p>
    <w:p w14:paraId="69B1A00D">
      <w:pPr>
        <w:framePr w:w="12089" w:wrap="auto" w:vAnchor="margin" w:hAnchor="text" w:x="3884" w:y="4346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得分是否客观、真实；佐证材料是否与项目（工作）存在联系</w:t>
      </w:r>
      <w:r>
        <w:rPr>
          <w:rFonts w:ascii="宋体"/>
          <w:color w:val="000000"/>
          <w:spacing w:val="80"/>
          <w:sz w:val="15"/>
        </w:rPr>
        <w:t xml:space="preserve"> </w:t>
      </w:r>
      <w:r>
        <w:rPr>
          <w:rFonts w:ascii="宋体" w:hAnsi="宋体" w:cs="宋体"/>
          <w:color w:val="000000"/>
          <w:spacing w:val="0"/>
          <w:sz w:val="15"/>
        </w:rPr>
        <w:t>3.自评评分表自评得分客观、真实，得2分；自评得分与核查得分每误差5分，扣0.5分，以此类</w:t>
      </w:r>
    </w:p>
    <w:p w14:paraId="7BBCDB58">
      <w:pPr>
        <w:framePr w:w="12089" w:wrap="auto" w:vAnchor="margin" w:hAnchor="text" w:x="3884" w:y="4346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，是否能证明项目（工作）立项、实施管理、完成等情况，对</w:t>
      </w:r>
      <w:r>
        <w:rPr>
          <w:rFonts w:ascii="宋体"/>
          <w:color w:val="000000"/>
          <w:spacing w:val="80"/>
          <w:sz w:val="15"/>
        </w:rPr>
        <w:t xml:space="preserve"> </w:t>
      </w:r>
      <w:r>
        <w:rPr>
          <w:rFonts w:ascii="宋体" w:hAnsi="宋体" w:cs="宋体"/>
          <w:color w:val="000000"/>
          <w:spacing w:val="0"/>
          <w:sz w:val="15"/>
        </w:rPr>
        <w:t>推，扣完为止；</w:t>
      </w:r>
    </w:p>
    <w:p w14:paraId="68C0815F">
      <w:pPr>
        <w:framePr w:w="527" w:wrap="auto" w:vAnchor="margin" w:hAnchor="text" w:x="1869" w:y="4466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自评</w:t>
      </w:r>
    </w:p>
    <w:p w14:paraId="77BA7200">
      <w:pPr>
        <w:framePr w:w="1626" w:wrap="auto" w:vAnchor="margin" w:hAnchor="text" w:x="1869" w:y="4631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工作</w:t>
      </w:r>
      <w:r>
        <w:rPr>
          <w:rFonts w:ascii="Times New Roman"/>
          <w:color w:val="000000"/>
          <w:spacing w:val="136"/>
          <w:sz w:val="15"/>
        </w:rPr>
        <w:t xml:space="preserve"> </w:t>
      </w:r>
      <w:r>
        <w:rPr>
          <w:rFonts w:ascii="宋体"/>
          <w:color w:val="000000"/>
          <w:spacing w:val="0"/>
          <w:sz w:val="15"/>
        </w:rPr>
        <w:t>18</w:t>
      </w:r>
      <w:r>
        <w:rPr>
          <w:rFonts w:ascii="宋体"/>
          <w:color w:val="000000"/>
          <w:spacing w:val="94"/>
          <w:sz w:val="15"/>
        </w:rPr>
        <w:t xml:space="preserve"> </w:t>
      </w:r>
      <w:r>
        <w:rPr>
          <w:rFonts w:ascii="宋体" w:hAnsi="宋体" w:cs="宋体"/>
          <w:color w:val="000000"/>
          <w:spacing w:val="0"/>
          <w:sz w:val="15"/>
        </w:rPr>
        <w:t>自评材料</w:t>
      </w:r>
    </w:p>
    <w:p w14:paraId="33AB7821">
      <w:pPr>
        <w:framePr w:w="301" w:wrap="auto" w:vAnchor="margin" w:hAnchor="text" w:x="15709" w:y="4726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3</w:t>
      </w:r>
    </w:p>
    <w:p w14:paraId="34C40C20">
      <w:pPr>
        <w:framePr w:w="527" w:wrap="auto" w:vAnchor="margin" w:hAnchor="text" w:x="1869" w:y="4846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情况</w:t>
      </w:r>
    </w:p>
    <w:p w14:paraId="2FB497B7">
      <w:pPr>
        <w:framePr w:w="830" w:wrap="auto" w:vAnchor="margin" w:hAnchor="text" w:x="2665" w:y="4821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报送质量</w:t>
      </w:r>
    </w:p>
    <w:p w14:paraId="31F661FE">
      <w:pPr>
        <w:framePr w:w="679" w:wrap="auto" w:vAnchor="margin" w:hAnchor="text" w:x="789" w:y="5061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前期准</w:t>
      </w:r>
    </w:p>
    <w:p w14:paraId="2A9D9814">
      <w:pPr>
        <w:framePr w:w="679" w:wrap="auto" w:vAnchor="margin" w:hAnchor="text" w:x="789" w:y="5061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备工作</w:t>
      </w:r>
    </w:p>
    <w:p w14:paraId="208C8DD4">
      <w:pPr>
        <w:framePr w:w="3304" w:wrap="auto" w:vAnchor="margin" w:hAnchor="text" w:x="3884" w:y="5105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项目（工作）相关情况的证明力是否充分。</w:t>
      </w:r>
    </w:p>
    <w:p w14:paraId="261CD1A7">
      <w:pPr>
        <w:framePr w:w="3912" w:wrap="auto" w:vAnchor="margin" w:hAnchor="text" w:x="8121" w:y="5105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4.佐证材料材料规范、完整，关联性强的，得1分；</w:t>
      </w:r>
    </w:p>
    <w:p w14:paraId="29422AF1">
      <w:pPr>
        <w:framePr w:w="376" w:wrap="auto" w:vAnchor="margin" w:hAnchor="text" w:x="1486" w:y="5156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20</w:t>
      </w:r>
    </w:p>
    <w:p w14:paraId="36C910B9">
      <w:pPr>
        <w:framePr w:w="7042" w:wrap="auto" w:vAnchor="margin" w:hAnchor="text" w:x="8121" w:y="5516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1.所报送的自评报告、数据表、评分表与公开的自评报告、数据表、评分表一致的，得5分；</w:t>
      </w:r>
    </w:p>
    <w:p w14:paraId="482A8C08">
      <w:pPr>
        <w:framePr w:w="830" w:wrap="auto" w:vAnchor="margin" w:hAnchor="text" w:x="2665" w:y="5611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自评材料</w:t>
      </w:r>
    </w:p>
    <w:p w14:paraId="0EDF2927">
      <w:pPr>
        <w:framePr w:w="830" w:wrap="auto" w:vAnchor="margin" w:hAnchor="text" w:x="2665" w:y="5611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报送及公</w:t>
      </w:r>
    </w:p>
    <w:p w14:paraId="29D3B502">
      <w:pPr>
        <w:framePr w:w="830" w:wrap="auto" w:vAnchor="margin" w:hAnchor="text" w:x="2665" w:y="5611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开一致性</w:t>
      </w:r>
    </w:p>
    <w:p w14:paraId="18DDEF76">
      <w:pPr>
        <w:framePr w:w="7220" w:wrap="auto" w:vAnchor="margin" w:hAnchor="text" w:x="3884" w:y="5706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主要考核所报送的自评报告、数据表、评分表是否与公开的自</w:t>
      </w:r>
      <w:r>
        <w:rPr>
          <w:rFonts w:ascii="宋体"/>
          <w:color w:val="000000"/>
          <w:spacing w:val="80"/>
          <w:sz w:val="15"/>
        </w:rPr>
        <w:t xml:space="preserve"> </w:t>
      </w:r>
      <w:r>
        <w:rPr>
          <w:rFonts w:ascii="宋体" w:hAnsi="宋体" w:cs="宋体"/>
          <w:color w:val="000000"/>
          <w:spacing w:val="0"/>
          <w:sz w:val="15"/>
        </w:rPr>
        <w:t>2.自评报告一致的，得1.5分；</w:t>
      </w:r>
    </w:p>
    <w:p w14:paraId="79A2921F">
      <w:pPr>
        <w:framePr w:w="301" w:wrap="auto" w:vAnchor="margin" w:hAnchor="text" w:x="3584" w:y="5801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5</w:t>
      </w:r>
    </w:p>
    <w:p w14:paraId="65B446CA">
      <w:pPr>
        <w:framePr w:w="301" w:wrap="auto" w:vAnchor="margin" w:hAnchor="text" w:x="3584" w:y="5801"/>
        <w:widowControl w:val="0"/>
        <w:autoSpaceDE w:val="0"/>
        <w:autoSpaceDN w:val="0"/>
        <w:spacing w:before="842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2</w:t>
      </w:r>
    </w:p>
    <w:p w14:paraId="5243BBC1">
      <w:pPr>
        <w:framePr w:w="301" w:wrap="auto" w:vAnchor="margin" w:hAnchor="text" w:x="3584" w:y="5801"/>
        <w:widowControl w:val="0"/>
        <w:autoSpaceDE w:val="0"/>
        <w:autoSpaceDN w:val="0"/>
        <w:spacing w:before="842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5</w:t>
      </w:r>
    </w:p>
    <w:p w14:paraId="66AA85D3">
      <w:pPr>
        <w:framePr w:w="301" w:wrap="auto" w:vAnchor="margin" w:hAnchor="text" w:x="15709" w:y="5801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4</w:t>
      </w:r>
    </w:p>
    <w:p w14:paraId="7BA355BB">
      <w:pPr>
        <w:framePr w:w="301" w:wrap="auto" w:vAnchor="margin" w:hAnchor="text" w:x="15709" w:y="5801"/>
        <w:widowControl w:val="0"/>
        <w:autoSpaceDE w:val="0"/>
        <w:autoSpaceDN w:val="0"/>
        <w:spacing w:before="842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2</w:t>
      </w:r>
    </w:p>
    <w:p w14:paraId="0CDC0118">
      <w:pPr>
        <w:framePr w:w="301" w:wrap="auto" w:vAnchor="margin" w:hAnchor="text" w:x="15709" w:y="5801"/>
        <w:widowControl w:val="0"/>
        <w:autoSpaceDE w:val="0"/>
        <w:autoSpaceDN w:val="0"/>
        <w:spacing w:before="842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5</w:t>
      </w:r>
    </w:p>
    <w:p w14:paraId="3B04B5D3">
      <w:pPr>
        <w:framePr w:w="2434" w:wrap="auto" w:vAnchor="margin" w:hAnchor="text" w:x="3884" w:y="5896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评报告、数据表、评分表一致。</w:t>
      </w:r>
    </w:p>
    <w:p w14:paraId="162B836D">
      <w:pPr>
        <w:framePr w:w="2521" w:wrap="auto" w:vAnchor="margin" w:hAnchor="text" w:x="8121" w:y="5896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3.自评数据表一致的，得1.5分；</w:t>
      </w:r>
    </w:p>
    <w:p w14:paraId="4B3EF6E0">
      <w:pPr>
        <w:framePr w:w="2521" w:wrap="auto" w:vAnchor="margin" w:hAnchor="text" w:x="8121" w:y="5896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4.自评评分表一致的，得2分。</w:t>
      </w:r>
    </w:p>
    <w:p w14:paraId="5ACC25AF">
      <w:pPr>
        <w:framePr w:w="6694" w:wrap="auto" w:vAnchor="margin" w:hAnchor="text" w:x="8121" w:y="6510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1.制定了内部控制和管理制度等规章制度，且相关管理制度合法、合规、完整，得1分；</w:t>
      </w:r>
    </w:p>
    <w:p w14:paraId="404E4A54">
      <w:pPr>
        <w:framePr w:w="527" w:wrap="auto" w:vAnchor="margin" w:hAnchor="text" w:x="1869" w:y="6699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保障</w:t>
      </w:r>
    </w:p>
    <w:p w14:paraId="3FB6DDE5">
      <w:pPr>
        <w:framePr w:w="527" w:wrap="auto" w:vAnchor="margin" w:hAnchor="text" w:x="1869" w:y="6699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措施</w:t>
      </w:r>
    </w:p>
    <w:p w14:paraId="1B98C0E2">
      <w:pPr>
        <w:framePr w:w="830" w:wrap="auto" w:vAnchor="margin" w:hAnchor="text" w:x="2665" w:y="6699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制度措施</w:t>
      </w:r>
    </w:p>
    <w:p w14:paraId="6336DD70">
      <w:pPr>
        <w:framePr w:w="830" w:wrap="auto" w:vAnchor="margin" w:hAnchor="text" w:x="2665" w:y="6699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健全性</w:t>
      </w:r>
    </w:p>
    <w:p w14:paraId="29D72621">
      <w:pPr>
        <w:framePr w:w="9307" w:wrap="auto" w:vAnchor="margin" w:hAnchor="text" w:x="3884" w:y="6699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主要考核反映部门（单位）是否制定并严格执行了相应的内部</w:t>
      </w:r>
      <w:r>
        <w:rPr>
          <w:rFonts w:ascii="宋体"/>
          <w:color w:val="000000"/>
          <w:spacing w:val="80"/>
          <w:sz w:val="15"/>
        </w:rPr>
        <w:t xml:space="preserve"> </w:t>
      </w:r>
      <w:r>
        <w:rPr>
          <w:rFonts w:ascii="宋体" w:hAnsi="宋体" w:cs="宋体"/>
          <w:color w:val="000000"/>
          <w:spacing w:val="0"/>
          <w:sz w:val="15"/>
        </w:rPr>
        <w:t>2.没有制定相关内部控制和管理制度等规章制度，计0分；</w:t>
      </w:r>
    </w:p>
    <w:p w14:paraId="1D924BB6">
      <w:pPr>
        <w:framePr w:w="301" w:wrap="auto" w:vAnchor="margin" w:hAnchor="text" w:x="2382" w:y="679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2</w:t>
      </w:r>
    </w:p>
    <w:p w14:paraId="0F2FF9E4">
      <w:pPr>
        <w:framePr w:w="4347" w:wrap="auto" w:vAnchor="margin" w:hAnchor="text" w:x="3884" w:y="6889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控制和管理制度、项目管理制度以及实施方案（计划）。</w:t>
      </w:r>
    </w:p>
    <w:p w14:paraId="0FA312BA">
      <w:pPr>
        <w:framePr w:w="7129" w:wrap="auto" w:vAnchor="margin" w:hAnchor="text" w:x="8121" w:y="6889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3.所制定的制度或方案健全规范并得到切实执行的（需有相应佐证材料，如日常检查、稽核的</w:t>
      </w:r>
    </w:p>
    <w:p w14:paraId="15C13782">
      <w:pPr>
        <w:framePr w:w="1510" w:wrap="auto" w:vAnchor="margin" w:hAnchor="text" w:x="8121" w:y="7079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底稿等），得2分；</w:t>
      </w:r>
    </w:p>
    <w:p w14:paraId="252A440C">
      <w:pPr>
        <w:framePr w:w="6955" w:wrap="auto" w:vAnchor="margin" w:hAnchor="text" w:x="8272" w:y="7408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1.部门预算编制、分配符合本部门职责、符合市委市政府方针政策和工作要求的，得2分；</w:t>
      </w:r>
    </w:p>
    <w:p w14:paraId="08012367">
      <w:pPr>
        <w:framePr w:w="6955" w:wrap="auto" w:vAnchor="margin" w:hAnchor="text" w:x="8272" w:y="7408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2.部门预算资金能根据年度工作重点，结合实际，在不同项目、不同用途之间分配合理的，</w:t>
      </w:r>
    </w:p>
    <w:p w14:paraId="616F90FB">
      <w:pPr>
        <w:framePr w:w="4695" w:wrap="auto" w:vAnchor="margin" w:hAnchor="text" w:x="3959" w:y="7598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主要考核部门（单位）预算的合理性，即是否符合本部门职责</w:t>
      </w:r>
    </w:p>
    <w:p w14:paraId="62DCF9E3">
      <w:pPr>
        <w:framePr w:w="830" w:wrap="auto" w:vAnchor="margin" w:hAnchor="text" w:x="2665" w:y="7693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预算编制</w:t>
      </w:r>
    </w:p>
    <w:p w14:paraId="047D958D">
      <w:pPr>
        <w:framePr w:w="830" w:wrap="auto" w:vAnchor="margin" w:hAnchor="text" w:x="2665" w:y="7693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合理性</w:t>
      </w:r>
    </w:p>
    <w:p w14:paraId="0195174D">
      <w:pPr>
        <w:framePr w:w="11045" w:wrap="auto" w:vAnchor="margin" w:hAnchor="text" w:x="3884" w:y="7787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、是否符合市委市政府的方针政策和工作要求，资金有无根据</w:t>
      </w:r>
      <w:r>
        <w:rPr>
          <w:rFonts w:ascii="宋体"/>
          <w:color w:val="000000"/>
          <w:spacing w:val="80"/>
          <w:sz w:val="15"/>
        </w:rPr>
        <w:t xml:space="preserve"> </w:t>
      </w:r>
      <w:r>
        <w:rPr>
          <w:rFonts w:ascii="宋体" w:hAnsi="宋体" w:cs="宋体"/>
          <w:color w:val="000000"/>
          <w:spacing w:val="0"/>
          <w:sz w:val="15"/>
        </w:rPr>
        <w:t>得1分；</w:t>
      </w:r>
    </w:p>
    <w:p w14:paraId="2D4CEE0E">
      <w:pPr>
        <w:framePr w:w="11045" w:wrap="auto" w:vAnchor="margin" w:hAnchor="text" w:x="3884" w:y="7787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项目的轻重缓急进行分配。</w:t>
      </w:r>
      <w:r>
        <w:rPr>
          <w:rFonts w:ascii="宋体"/>
          <w:color w:val="000000"/>
          <w:spacing w:val="2499"/>
          <w:sz w:val="15"/>
        </w:rPr>
        <w:t xml:space="preserve"> </w:t>
      </w:r>
      <w:r>
        <w:rPr>
          <w:rFonts w:ascii="宋体" w:hAnsi="宋体" w:cs="宋体"/>
          <w:color w:val="000000"/>
          <w:spacing w:val="0"/>
          <w:sz w:val="15"/>
        </w:rPr>
        <w:t>3.专项资金编制细化程度合理，未因调整导致部门预决算差异过大的，得1分；</w:t>
      </w:r>
    </w:p>
    <w:p w14:paraId="4F76EB94">
      <w:pPr>
        <w:framePr w:w="11045" w:wrap="auto" w:vAnchor="margin" w:hAnchor="text" w:x="3884" w:y="7787"/>
        <w:widowControl w:val="0"/>
        <w:autoSpaceDE w:val="0"/>
        <w:autoSpaceDN w:val="0"/>
        <w:spacing w:before="39" w:after="0" w:line="151" w:lineRule="exact"/>
        <w:ind w:left="4388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4.功能分类和经济分类编制准确，项目之间未出现调整的，得1分；</w:t>
      </w:r>
    </w:p>
    <w:p w14:paraId="202BDB6C">
      <w:pPr>
        <w:framePr w:w="527" w:wrap="auto" w:vAnchor="margin" w:hAnchor="text" w:x="1869" w:y="8059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预算</w:t>
      </w:r>
    </w:p>
    <w:p w14:paraId="38067E9A">
      <w:pPr>
        <w:framePr w:w="527" w:wrap="auto" w:vAnchor="margin" w:hAnchor="text" w:x="1869" w:y="8059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编制</w:t>
      </w:r>
    </w:p>
    <w:p w14:paraId="65AC08EE">
      <w:pPr>
        <w:framePr w:w="376" w:wrap="auto" w:vAnchor="margin" w:hAnchor="text" w:x="2345" w:y="815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10</w:t>
      </w:r>
    </w:p>
    <w:p w14:paraId="2A68067C">
      <w:pPr>
        <w:framePr w:w="12002" w:wrap="auto" w:vAnchor="margin" w:hAnchor="text" w:x="3884" w:y="8458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主要考核部门（单位）预算编制是否符合市财政当年度有关预</w:t>
      </w:r>
      <w:r>
        <w:rPr>
          <w:rFonts w:ascii="宋体"/>
          <w:color w:val="000000"/>
          <w:spacing w:val="80"/>
          <w:sz w:val="15"/>
        </w:rPr>
        <w:t xml:space="preserve"> </w:t>
      </w:r>
      <w:r>
        <w:rPr>
          <w:rFonts w:ascii="宋体" w:hAnsi="宋体" w:cs="宋体"/>
          <w:color w:val="000000"/>
          <w:spacing w:val="0"/>
          <w:sz w:val="15"/>
        </w:rPr>
        <w:t>符合市财政当年度有关预算编制的原则和要求的，符合专项资金预算编制和项目库管理要求的</w:t>
      </w:r>
    </w:p>
    <w:p w14:paraId="7CE4021C">
      <w:pPr>
        <w:framePr w:w="12002" w:wrap="auto" w:vAnchor="margin" w:hAnchor="text" w:x="3884" w:y="8458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算编制的原则，例如在规范性和细致程度方面是否符合要求等</w:t>
      </w:r>
      <w:r>
        <w:rPr>
          <w:rFonts w:ascii="宋体"/>
          <w:color w:val="000000"/>
          <w:spacing w:val="80"/>
          <w:sz w:val="15"/>
        </w:rPr>
        <w:t xml:space="preserve"> </w:t>
      </w:r>
      <w:r>
        <w:rPr>
          <w:rFonts w:ascii="宋体" w:hAnsi="宋体" w:cs="宋体"/>
          <w:color w:val="000000"/>
          <w:spacing w:val="0"/>
          <w:sz w:val="15"/>
        </w:rPr>
        <w:t>，得5分；发现一项没有满足的扣1分，扣完为止。本指标按照当年市级预算编制文件和部门（</w:t>
      </w:r>
    </w:p>
    <w:p w14:paraId="1B675F97">
      <w:pPr>
        <w:framePr w:w="830" w:wrap="auto" w:vAnchor="margin" w:hAnchor="text" w:x="2665" w:y="8553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预算编制</w:t>
      </w:r>
    </w:p>
    <w:p w14:paraId="1E9EDE4E">
      <w:pPr>
        <w:framePr w:w="830" w:wrap="auto" w:vAnchor="margin" w:hAnchor="text" w:x="2665" w:y="8553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规范性</w:t>
      </w:r>
    </w:p>
    <w:p w14:paraId="5F715742">
      <w:pPr>
        <w:framePr w:w="301" w:wrap="auto" w:vAnchor="margin" w:hAnchor="text" w:x="3584" w:y="8648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5</w:t>
      </w:r>
    </w:p>
    <w:p w14:paraId="1EDD0CD9">
      <w:pPr>
        <w:framePr w:w="301" w:wrap="auto" w:vAnchor="margin" w:hAnchor="text" w:x="3584" w:y="8648"/>
        <w:widowControl w:val="0"/>
        <w:autoSpaceDE w:val="0"/>
        <w:autoSpaceDN w:val="0"/>
        <w:spacing w:before="652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2</w:t>
      </w:r>
    </w:p>
    <w:p w14:paraId="34AA5920">
      <w:pPr>
        <w:framePr w:w="301" w:wrap="auto" w:vAnchor="margin" w:hAnchor="text" w:x="15709" w:y="8648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4</w:t>
      </w:r>
    </w:p>
    <w:p w14:paraId="4BEB2238">
      <w:pPr>
        <w:framePr w:w="301" w:wrap="auto" w:vAnchor="margin" w:hAnchor="text" w:x="15709" w:y="8648"/>
        <w:widowControl w:val="0"/>
        <w:autoSpaceDE w:val="0"/>
        <w:autoSpaceDN w:val="0"/>
        <w:spacing w:before="652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2</w:t>
      </w:r>
    </w:p>
    <w:p w14:paraId="4D57D595">
      <w:pPr>
        <w:framePr w:w="376" w:wrap="auto" w:vAnchor="margin" w:hAnchor="text" w:x="3884" w:y="8838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。</w:t>
      </w:r>
    </w:p>
    <w:p w14:paraId="4886BC34">
      <w:pPr>
        <w:framePr w:w="3130" w:wrap="auto" w:vAnchor="margin" w:hAnchor="text" w:x="8121" w:y="8838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单位）的部门预算，根据实际情况评定。</w:t>
      </w:r>
    </w:p>
    <w:p w14:paraId="1FA0ED4A">
      <w:pPr>
        <w:framePr w:w="679" w:wrap="auto" w:vAnchor="margin" w:hAnchor="text" w:x="789" w:y="9008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预算编</w:t>
      </w:r>
    </w:p>
    <w:p w14:paraId="0DB69374">
      <w:pPr>
        <w:framePr w:w="679" w:wrap="auto" w:vAnchor="margin" w:hAnchor="text" w:x="789" w:y="9008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制情况</w:t>
      </w:r>
    </w:p>
    <w:p w14:paraId="3F026A1C">
      <w:pPr>
        <w:framePr w:w="376" w:wrap="auto" w:vAnchor="margin" w:hAnchor="text" w:x="1486" w:y="9103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15</w:t>
      </w:r>
    </w:p>
    <w:p w14:paraId="481213A2">
      <w:pPr>
        <w:framePr w:w="4782" w:wrap="auto" w:vAnchor="margin" w:hAnchor="text" w:x="8121" w:y="9167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1.根据要求进行绩效目标申报，并且符合申报要求的，得2分；</w:t>
      </w:r>
    </w:p>
    <w:p w14:paraId="4DC56C5E">
      <w:pPr>
        <w:framePr w:w="4782" w:wrap="auto" w:vAnchor="margin" w:hAnchor="text" w:x="8121" w:y="9167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2.已及时进行绩效目标申报，但不符合申报要求的，得1分；</w:t>
      </w:r>
    </w:p>
    <w:p w14:paraId="3296A50C">
      <w:pPr>
        <w:framePr w:w="4782" w:wrap="auto" w:vAnchor="margin" w:hAnchor="text" w:x="8121" w:y="9167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3.未及时进行绩效目标申报的，不得分。</w:t>
      </w:r>
    </w:p>
    <w:p w14:paraId="76AF7B53">
      <w:pPr>
        <w:framePr w:w="4695" w:wrap="auto" w:vAnchor="margin" w:hAnchor="text" w:x="3884" w:y="9261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主要考核部门（单位）是否按规定对符合绩效目标申报项目进</w:t>
      </w:r>
    </w:p>
    <w:p w14:paraId="5289A525">
      <w:pPr>
        <w:framePr w:w="830" w:wrap="auto" w:vAnchor="margin" w:hAnchor="text" w:x="2710" w:y="9356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绩效目标</w:t>
      </w:r>
    </w:p>
    <w:p w14:paraId="1BBE5E2E">
      <w:pPr>
        <w:framePr w:w="830" w:wrap="auto" w:vAnchor="margin" w:hAnchor="text" w:x="2710" w:y="9356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申报情况</w:t>
      </w:r>
    </w:p>
    <w:p w14:paraId="418E0766">
      <w:pPr>
        <w:framePr w:w="4695" w:wrap="auto" w:vAnchor="margin" w:hAnchor="text" w:x="3884" w:y="9451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行了绩效目标申报，绩效目标申报工作是否及时、规范、完整</w:t>
      </w:r>
    </w:p>
    <w:p w14:paraId="4CD3C5E5">
      <w:pPr>
        <w:framePr w:w="4695" w:wrap="auto" w:vAnchor="margin" w:hAnchor="text" w:x="3884" w:y="9451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。</w:t>
      </w:r>
    </w:p>
    <w:p w14:paraId="39CC5573">
      <w:pPr>
        <w:framePr w:w="3738" w:wrap="auto" w:vAnchor="margin" w:hAnchor="text" w:x="8121" w:y="9736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4.如当年没有符合绩效目标申报项目的，得2分。</w:t>
      </w:r>
    </w:p>
    <w:p w14:paraId="761D1C9A">
      <w:pPr>
        <w:framePr w:w="527" w:wrap="auto" w:vAnchor="margin" w:hAnchor="text" w:x="1869" w:y="9869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目标</w:t>
      </w:r>
    </w:p>
    <w:p w14:paraId="693D0D15">
      <w:pPr>
        <w:framePr w:w="527" w:wrap="auto" w:vAnchor="margin" w:hAnchor="text" w:x="1869" w:y="9869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设置</w:t>
      </w:r>
    </w:p>
    <w:p w14:paraId="3F4CD857">
      <w:pPr>
        <w:framePr w:w="301" w:wrap="auto" w:vAnchor="margin" w:hAnchor="text" w:x="2382" w:y="996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5</w:t>
      </w:r>
    </w:p>
    <w:p w14:paraId="11B409B1">
      <w:pPr>
        <w:framePr w:w="5303" w:wrap="auto" w:vAnchor="margin" w:hAnchor="text" w:x="8121" w:y="10021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1.整体绩效目标与年度工作任务相符并符合客观实际情况的，得1分；</w:t>
      </w:r>
    </w:p>
    <w:p w14:paraId="7EE98ED3">
      <w:pPr>
        <w:framePr w:w="12002" w:wrap="auto" w:vAnchor="margin" w:hAnchor="text" w:x="3884" w:y="10210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主要考核部门（单位）所设立的整体绩效目标是否符合客观实</w:t>
      </w:r>
      <w:r>
        <w:rPr>
          <w:rFonts w:ascii="宋体"/>
          <w:color w:val="000000"/>
          <w:spacing w:val="80"/>
          <w:sz w:val="15"/>
        </w:rPr>
        <w:t xml:space="preserve"> </w:t>
      </w:r>
      <w:r>
        <w:rPr>
          <w:rFonts w:ascii="宋体" w:hAnsi="宋体" w:cs="宋体"/>
          <w:color w:val="000000"/>
          <w:spacing w:val="0"/>
          <w:sz w:val="15"/>
        </w:rPr>
        <w:t>2.整体绩效目标包括预期提供的公共产品或服务的产出数量、质量、成本以及预期达到的效果</w:t>
      </w:r>
    </w:p>
    <w:p w14:paraId="5F0FA91C">
      <w:pPr>
        <w:framePr w:w="12002" w:wrap="auto" w:vAnchor="margin" w:hAnchor="text" w:x="3884" w:y="10210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际，用以反映和考核部门（单位）整体绩效目标与年度工作任</w:t>
      </w:r>
      <w:r>
        <w:rPr>
          <w:rFonts w:ascii="宋体"/>
          <w:color w:val="000000"/>
          <w:spacing w:val="80"/>
          <w:sz w:val="15"/>
        </w:rPr>
        <w:t xml:space="preserve"> </w:t>
      </w:r>
      <w:r>
        <w:rPr>
          <w:rFonts w:ascii="宋体" w:hAnsi="宋体" w:cs="宋体"/>
          <w:color w:val="000000"/>
          <w:spacing w:val="0"/>
          <w:sz w:val="15"/>
        </w:rPr>
        <w:t>性的量化指标，得2分；</w:t>
      </w:r>
    </w:p>
    <w:p w14:paraId="44DAD1F5">
      <w:pPr>
        <w:framePr w:w="830" w:wrap="auto" w:vAnchor="margin" w:hAnchor="text" w:x="2710" w:y="10305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目标设置</w:t>
      </w:r>
    </w:p>
    <w:p w14:paraId="7C18B45D">
      <w:pPr>
        <w:framePr w:w="830" w:wrap="auto" w:vAnchor="margin" w:hAnchor="text" w:x="2710" w:y="10305"/>
        <w:widowControl w:val="0"/>
        <w:autoSpaceDE w:val="0"/>
        <w:autoSpaceDN w:val="0"/>
        <w:spacing w:before="39" w:after="0" w:line="151" w:lineRule="exact"/>
        <w:ind w:left="76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合理性</w:t>
      </w:r>
    </w:p>
    <w:p w14:paraId="671249CD">
      <w:pPr>
        <w:framePr w:w="301" w:wrap="auto" w:vAnchor="margin" w:hAnchor="text" w:x="3584" w:y="10400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3</w:t>
      </w:r>
    </w:p>
    <w:p w14:paraId="3CE93BA5">
      <w:pPr>
        <w:framePr w:w="301" w:wrap="auto" w:vAnchor="margin" w:hAnchor="text" w:x="15709" w:y="10400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2</w:t>
      </w:r>
    </w:p>
    <w:p w14:paraId="65E78D61">
      <w:pPr>
        <w:framePr w:w="1435" w:wrap="auto" w:vAnchor="margin" w:hAnchor="text" w:x="3884" w:y="10590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务的相符性情况。</w:t>
      </w:r>
    </w:p>
    <w:p w14:paraId="2A2B4DF8">
      <w:pPr>
        <w:framePr w:w="2695" w:wrap="auto" w:vAnchor="margin" w:hAnchor="text" w:x="8121" w:y="10590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3.没有设立整体绩效目标的计0分；</w:t>
      </w:r>
    </w:p>
    <w:p w14:paraId="3933A20A">
      <w:pPr>
        <w:framePr w:w="2695" w:wrap="auto" w:vAnchor="margin" w:hAnchor="text" w:x="8121" w:y="10590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4、其他情况酌情扣分。</w:t>
      </w:r>
    </w:p>
    <w:p w14:paraId="2E190F0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36.85pt;margin-top:93.65pt;height:456.65pt;width:765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2F91BD5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CD37D1F">
      <w:pPr>
        <w:framePr w:w="5023" w:wrap="auto" w:vAnchor="margin" w:hAnchor="text" w:x="6197" w:y="900"/>
        <w:widowControl w:val="0"/>
        <w:autoSpaceDE w:val="0"/>
        <w:autoSpaceDN w:val="0"/>
        <w:spacing w:before="0" w:after="0" w:line="336" w:lineRule="exact"/>
        <w:ind w:left="0" w:right="0" w:firstLine="0"/>
        <w:jc w:val="left"/>
        <w:rPr>
          <w:rFonts w:ascii="宋体"/>
          <w:color w:val="000000"/>
          <w:spacing w:val="0"/>
          <w:sz w:val="34"/>
        </w:rPr>
      </w:pPr>
      <w:r>
        <w:rPr>
          <w:rFonts w:ascii="宋体" w:hAnsi="宋体" w:cs="宋体"/>
          <w:color w:val="000000"/>
          <w:spacing w:val="0"/>
          <w:sz w:val="34"/>
        </w:rPr>
        <w:t>部门整体支出绩效评价评分表</w:t>
      </w:r>
    </w:p>
    <w:p w14:paraId="1A323BC6">
      <w:pPr>
        <w:framePr w:w="824" w:wrap="auto" w:vAnchor="margin" w:hAnchor="text" w:x="772" w:y="1355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单位：</w:t>
      </w:r>
    </w:p>
    <w:p w14:paraId="46AB6BA9">
      <w:pPr>
        <w:framePr w:w="1106" w:wrap="auto" w:vAnchor="margin" w:hAnchor="text" w:x="1889" w:y="1636"/>
        <w:widowControl w:val="0"/>
        <w:autoSpaceDE w:val="0"/>
        <w:autoSpaceDN w:val="0"/>
        <w:spacing w:before="0" w:after="0" w:line="202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评价指标</w:t>
      </w:r>
    </w:p>
    <w:p w14:paraId="7B7467EA">
      <w:pPr>
        <w:framePr w:w="1917" w:wrap="auto" w:vAnchor="margin" w:hAnchor="text" w:x="932" w:y="2005"/>
        <w:widowControl w:val="0"/>
        <w:autoSpaceDE w:val="0"/>
        <w:autoSpaceDN w:val="0"/>
        <w:spacing w:before="0" w:after="0" w:line="175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一级指标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二级指标</w:t>
      </w:r>
    </w:p>
    <w:p w14:paraId="65EC4ED6">
      <w:pPr>
        <w:framePr w:w="1917" w:wrap="auto" w:vAnchor="margin" w:hAnchor="text" w:x="932" w:y="2005"/>
        <w:widowControl w:val="0"/>
        <w:autoSpaceDE w:val="0"/>
        <w:autoSpaceDN w:val="0"/>
        <w:spacing w:before="54" w:after="0" w:line="175" w:lineRule="exact"/>
        <w:ind w:left="140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权</w:t>
      </w:r>
    </w:p>
    <w:p w14:paraId="6A2FF8F2">
      <w:pPr>
        <w:framePr w:w="971" w:wrap="auto" w:vAnchor="margin" w:hAnchor="text" w:x="2888" w:y="2005"/>
        <w:widowControl w:val="0"/>
        <w:autoSpaceDE w:val="0"/>
        <w:autoSpaceDN w:val="0"/>
        <w:spacing w:before="0" w:after="0" w:line="175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三级指标</w:t>
      </w:r>
    </w:p>
    <w:p w14:paraId="11FA28A5">
      <w:pPr>
        <w:framePr w:w="1106" w:wrap="auto" w:vAnchor="margin" w:hAnchor="text" w:x="5563" w:y="2067"/>
        <w:widowControl w:val="0"/>
        <w:autoSpaceDE w:val="0"/>
        <w:autoSpaceDN w:val="0"/>
        <w:spacing w:before="0" w:after="0" w:line="202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指标说明</w:t>
      </w:r>
    </w:p>
    <w:p w14:paraId="179D93A6">
      <w:pPr>
        <w:framePr w:w="1106" w:wrap="auto" w:vAnchor="margin" w:hAnchor="text" w:x="10892" w:y="2067"/>
        <w:widowControl w:val="0"/>
        <w:autoSpaceDE w:val="0"/>
        <w:autoSpaceDN w:val="0"/>
        <w:spacing w:before="0" w:after="0" w:line="202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评分标准</w:t>
      </w:r>
    </w:p>
    <w:p w14:paraId="6A629B0C">
      <w:pPr>
        <w:framePr w:w="1665" w:wrap="auto" w:vAnchor="margin" w:hAnchor="text" w:x="14583" w:y="2067"/>
        <w:widowControl w:val="0"/>
        <w:autoSpaceDE w:val="0"/>
        <w:autoSpaceDN w:val="0"/>
        <w:spacing w:before="0" w:after="0" w:line="202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扣分说明</w:t>
      </w:r>
      <w:r>
        <w:rPr>
          <w:rFonts w:ascii="Times New Roman"/>
          <w:color w:val="000000"/>
          <w:spacing w:val="106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得分</w:t>
      </w:r>
    </w:p>
    <w:p w14:paraId="2CB27878">
      <w:pPr>
        <w:framePr w:w="620" w:wrap="auto" w:vAnchor="margin" w:hAnchor="text" w:x="1386" w:y="2336"/>
        <w:widowControl w:val="0"/>
        <w:autoSpaceDE w:val="0"/>
        <w:autoSpaceDN w:val="0"/>
        <w:spacing w:before="0" w:after="0" w:line="175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权重</w:t>
      </w:r>
    </w:p>
    <w:p w14:paraId="3AC92C28">
      <w:pPr>
        <w:framePr w:w="620" w:wrap="auto" w:vAnchor="margin" w:hAnchor="text" w:x="1386" w:y="2336"/>
        <w:widowControl w:val="0"/>
        <w:autoSpaceDE w:val="0"/>
        <w:autoSpaceDN w:val="0"/>
        <w:spacing w:before="27" w:after="0" w:line="175" w:lineRule="exact"/>
        <w:ind w:left="44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0"/>
          <w:sz w:val="18"/>
        </w:rPr>
        <w:t>(%)</w:t>
      </w:r>
    </w:p>
    <w:p w14:paraId="65C21CE6">
      <w:pPr>
        <w:framePr w:w="445" w:wrap="auto" w:vAnchor="margin" w:hAnchor="text" w:x="1932" w:y="2336"/>
        <w:widowControl w:val="0"/>
        <w:autoSpaceDE w:val="0"/>
        <w:autoSpaceDN w:val="0"/>
        <w:spacing w:before="0" w:after="0" w:line="175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名</w:t>
      </w:r>
    </w:p>
    <w:p w14:paraId="5C46E982">
      <w:pPr>
        <w:framePr w:w="445" w:wrap="auto" w:vAnchor="margin" w:hAnchor="text" w:x="1932" w:y="2336"/>
        <w:widowControl w:val="0"/>
        <w:autoSpaceDE w:val="0"/>
        <w:autoSpaceDN w:val="0"/>
        <w:spacing w:before="27" w:after="0" w:line="175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称</w:t>
      </w:r>
    </w:p>
    <w:p w14:paraId="72CE126A">
      <w:pPr>
        <w:framePr w:w="620" w:wrap="auto" w:vAnchor="margin" w:hAnchor="text" w:x="3446" w:y="2336"/>
        <w:widowControl w:val="0"/>
        <w:autoSpaceDE w:val="0"/>
        <w:autoSpaceDN w:val="0"/>
        <w:spacing w:before="0" w:after="0" w:line="175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权重</w:t>
      </w:r>
    </w:p>
    <w:p w14:paraId="11EF5A07">
      <w:pPr>
        <w:framePr w:w="620" w:wrap="auto" w:vAnchor="margin" w:hAnchor="text" w:x="3446" w:y="2336"/>
        <w:widowControl w:val="0"/>
        <w:autoSpaceDE w:val="0"/>
        <w:autoSpaceDN w:val="0"/>
        <w:spacing w:before="27" w:after="0" w:line="175" w:lineRule="exact"/>
        <w:ind w:left="44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0"/>
          <w:sz w:val="18"/>
        </w:rPr>
        <w:t>(%)</w:t>
      </w:r>
    </w:p>
    <w:p w14:paraId="342C4204">
      <w:pPr>
        <w:framePr w:w="620" w:wrap="auto" w:vAnchor="margin" w:hAnchor="text" w:x="840" w:y="2437"/>
        <w:widowControl w:val="0"/>
        <w:autoSpaceDE w:val="0"/>
        <w:autoSpaceDN w:val="0"/>
        <w:spacing w:before="0" w:after="0" w:line="175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名称</w:t>
      </w:r>
    </w:p>
    <w:p w14:paraId="71841707">
      <w:pPr>
        <w:framePr w:w="533" w:wrap="auto" w:vAnchor="margin" w:hAnchor="text" w:x="2289" w:y="2437"/>
        <w:widowControl w:val="0"/>
        <w:autoSpaceDE w:val="0"/>
        <w:autoSpaceDN w:val="0"/>
        <w:spacing w:before="0" w:after="0" w:line="175" w:lineRule="exact"/>
        <w:ind w:left="44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重</w:t>
      </w:r>
    </w:p>
    <w:p w14:paraId="63CE9A7A">
      <w:pPr>
        <w:framePr w:w="533" w:wrap="auto" w:vAnchor="margin" w:hAnchor="text" w:x="2289" w:y="2437"/>
        <w:widowControl w:val="0"/>
        <w:autoSpaceDE w:val="0"/>
        <w:autoSpaceDN w:val="0"/>
        <w:spacing w:before="27" w:after="0" w:line="175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0"/>
          <w:sz w:val="18"/>
        </w:rPr>
        <w:t>(%)</w:t>
      </w:r>
    </w:p>
    <w:p w14:paraId="3FCE86A4">
      <w:pPr>
        <w:framePr w:w="620" w:wrap="auto" w:vAnchor="margin" w:hAnchor="text" w:x="2837" w:y="2437"/>
        <w:widowControl w:val="0"/>
        <w:autoSpaceDE w:val="0"/>
        <w:autoSpaceDN w:val="0"/>
        <w:spacing w:before="0" w:after="0" w:line="175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名称</w:t>
      </w:r>
    </w:p>
    <w:p w14:paraId="25CCB8BD">
      <w:pPr>
        <w:framePr w:w="5999" w:wrap="auto" w:vAnchor="margin" w:hAnchor="text" w:x="8423" w:y="283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1.进行了公开，且公开内容真实、及时和完整，符合公开范围要求的，得3分；</w:t>
      </w:r>
    </w:p>
    <w:p w14:paraId="21390CE4">
      <w:pPr>
        <w:framePr w:w="5999" w:wrap="auto" w:vAnchor="margin" w:hAnchor="text" w:x="8423" w:y="2834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2.进行了公开，但未达到时限、内容或范围要求的，得1分；</w:t>
      </w:r>
    </w:p>
    <w:p w14:paraId="070DF95D">
      <w:pPr>
        <w:framePr w:w="5999" w:wrap="auto" w:vAnchor="margin" w:hAnchor="text" w:x="8423" w:y="2834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3.没有进行公开的，得0分；</w:t>
      </w:r>
    </w:p>
    <w:p w14:paraId="5B69C947">
      <w:pPr>
        <w:framePr w:w="4695" w:wrap="auto" w:vAnchor="margin" w:hAnchor="text" w:x="3884" w:y="302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主要考核部门（单位）在被评价年度是否按绩效自评规定在单</w:t>
      </w:r>
    </w:p>
    <w:p w14:paraId="4D9F2BD5">
      <w:pPr>
        <w:framePr w:w="4695" w:wrap="auto" w:vAnchor="margin" w:hAnchor="text" w:x="3884" w:y="3024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位门户网站或其他渠道公开自评材料，用以反映部门（单位）</w:t>
      </w:r>
    </w:p>
    <w:p w14:paraId="23210FF4">
      <w:pPr>
        <w:framePr w:w="4695" w:wrap="auto" w:vAnchor="margin" w:hAnchor="text" w:x="3884" w:y="3024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公开的自评材料的真实、及时、透明情况。</w:t>
      </w:r>
    </w:p>
    <w:p w14:paraId="7E2C89E1">
      <w:pPr>
        <w:framePr w:w="830" w:wrap="auto" w:vAnchor="margin" w:hAnchor="text" w:x="2710" w:y="321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自评材料</w:t>
      </w:r>
    </w:p>
    <w:p w14:paraId="321F7CC2">
      <w:pPr>
        <w:framePr w:w="301" w:wrap="auto" w:vAnchor="margin" w:hAnchor="text" w:x="3584" w:y="321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3</w:t>
      </w:r>
    </w:p>
    <w:p w14:paraId="34A8B963">
      <w:pPr>
        <w:framePr w:w="301" w:wrap="auto" w:vAnchor="margin" w:hAnchor="text" w:x="15709" w:y="321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3</w:t>
      </w:r>
    </w:p>
    <w:p w14:paraId="63472357">
      <w:pPr>
        <w:framePr w:w="301" w:wrap="auto" w:vAnchor="margin" w:hAnchor="text" w:x="15709" w:y="3214"/>
        <w:widowControl w:val="0"/>
        <w:autoSpaceDE w:val="0"/>
        <w:autoSpaceDN w:val="0"/>
        <w:spacing w:before="912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4</w:t>
      </w:r>
    </w:p>
    <w:p w14:paraId="41E71ACA">
      <w:pPr>
        <w:framePr w:w="7216" w:wrap="auto" w:vAnchor="margin" w:hAnchor="text" w:x="8121" w:y="3404"/>
        <w:widowControl w:val="0"/>
        <w:autoSpaceDE w:val="0"/>
        <w:autoSpaceDN w:val="0"/>
        <w:spacing w:before="0" w:after="0" w:line="151" w:lineRule="exact"/>
        <w:ind w:left="302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4.涉密单位不需要公开相关信息并及时提供涉密依据的，计3分；涉密单位不需要公开相关</w:t>
      </w:r>
    </w:p>
    <w:p w14:paraId="44F46389">
      <w:pPr>
        <w:framePr w:w="7216" w:wrap="auto" w:vAnchor="margin" w:hAnchor="text" w:x="8121" w:y="3404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信息但未及时提供涉密依据的，计0分。</w:t>
      </w:r>
    </w:p>
    <w:p w14:paraId="66817E90">
      <w:pPr>
        <w:framePr w:w="4608" w:wrap="auto" w:vAnchor="margin" w:hAnchor="text" w:x="8423" w:y="3897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1.按规定内容、在规定时限和范围内公开的，得4分；</w:t>
      </w:r>
    </w:p>
    <w:p w14:paraId="35220802">
      <w:pPr>
        <w:framePr w:w="4608" w:wrap="auto" w:vAnchor="margin" w:hAnchor="text" w:x="8423" w:y="3897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2.进行了公开，但未达到时限、内容或范围要求的，得2分；</w:t>
      </w:r>
    </w:p>
    <w:p w14:paraId="710A1494">
      <w:pPr>
        <w:framePr w:w="4608" w:wrap="auto" w:vAnchor="margin" w:hAnchor="text" w:x="8423" w:y="3897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3.没有进行公开的，得0分；</w:t>
      </w:r>
    </w:p>
    <w:p w14:paraId="27B29834">
      <w:pPr>
        <w:framePr w:w="4695" w:wrap="auto" w:vAnchor="margin" w:hAnchor="text" w:x="3884" w:y="4087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主要考核部门（单位）在被评价年度是否按照《预算法》和政</w:t>
      </w:r>
    </w:p>
    <w:p w14:paraId="6B8499EF">
      <w:pPr>
        <w:framePr w:w="4695" w:wrap="auto" w:vAnchor="margin" w:hAnchor="text" w:x="3884" w:y="4087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府信息公开有关规定在单位门户网站或其他渠道公开相关预决</w:t>
      </w:r>
    </w:p>
    <w:p w14:paraId="0720DEA7">
      <w:pPr>
        <w:framePr w:w="4695" w:wrap="auto" w:vAnchor="margin" w:hAnchor="text" w:x="3884" w:y="4087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算信息，用以反映部门（单位）预决算管理的公开透明情况。</w:t>
      </w:r>
    </w:p>
    <w:p w14:paraId="5ABAA19A">
      <w:pPr>
        <w:framePr w:w="679" w:wrap="auto" w:vAnchor="margin" w:hAnchor="text" w:x="2785" w:y="4277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预决算</w:t>
      </w:r>
    </w:p>
    <w:p w14:paraId="60FAB633">
      <w:pPr>
        <w:framePr w:w="301" w:wrap="auto" w:vAnchor="margin" w:hAnchor="text" w:x="3584" w:y="4277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4</w:t>
      </w:r>
    </w:p>
    <w:p w14:paraId="091219C6">
      <w:pPr>
        <w:framePr w:w="7216" w:wrap="auto" w:vAnchor="margin" w:hAnchor="text" w:x="8121" w:y="4466"/>
        <w:widowControl w:val="0"/>
        <w:autoSpaceDE w:val="0"/>
        <w:autoSpaceDN w:val="0"/>
        <w:spacing w:before="0" w:after="0" w:line="151" w:lineRule="exact"/>
        <w:ind w:left="302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4.涉密单位不需要公开相关信息并及时提供涉密依据的，计4分；涉密单位不需要公开相关</w:t>
      </w:r>
    </w:p>
    <w:p w14:paraId="1A8A46A2">
      <w:pPr>
        <w:framePr w:w="7216" w:wrap="auto" w:vAnchor="margin" w:hAnchor="text" w:x="8121" w:y="4466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信息但未及时提供涉密依据的，计0分。</w:t>
      </w:r>
    </w:p>
    <w:p w14:paraId="53D6D701">
      <w:pPr>
        <w:framePr w:w="527" w:wrap="auto" w:vAnchor="margin" w:hAnchor="text" w:x="1869" w:y="4511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信息</w:t>
      </w:r>
    </w:p>
    <w:p w14:paraId="7E262ABE">
      <w:pPr>
        <w:framePr w:w="527" w:wrap="auto" w:vAnchor="margin" w:hAnchor="text" w:x="1869" w:y="4511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公开</w:t>
      </w:r>
    </w:p>
    <w:p w14:paraId="61FF6CF6">
      <w:pPr>
        <w:framePr w:w="376" w:wrap="auto" w:vAnchor="margin" w:hAnchor="text" w:x="2345" w:y="4606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10</w:t>
      </w:r>
    </w:p>
    <w:p w14:paraId="3DFA6B62">
      <w:pPr>
        <w:framePr w:w="5303" w:wrap="auto" w:vAnchor="margin" w:hAnchor="text" w:x="8121" w:y="5099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1.按规定内容、在规定时限和范围内公开的，与批复一致的，得3分；</w:t>
      </w:r>
    </w:p>
    <w:p w14:paraId="053CBB03">
      <w:pPr>
        <w:framePr w:w="5303" w:wrap="auto" w:vAnchor="margin" w:hAnchor="text" w:x="8121" w:y="5099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2.进行了公开，但未达到时限、内容或范围要求的，得1分；</w:t>
      </w:r>
    </w:p>
    <w:p w14:paraId="4ED665EE">
      <w:pPr>
        <w:framePr w:w="12089" w:wrap="auto" w:vAnchor="margin" w:hAnchor="text" w:x="3884" w:y="5479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主要考核部门（单位）在被评价年度是否按照绩效目标批复要</w:t>
      </w:r>
      <w:r>
        <w:rPr>
          <w:rFonts w:ascii="宋体"/>
          <w:color w:val="000000"/>
          <w:spacing w:val="80"/>
          <w:sz w:val="15"/>
        </w:rPr>
        <w:t xml:space="preserve"> </w:t>
      </w:r>
      <w:r>
        <w:rPr>
          <w:rFonts w:ascii="宋体" w:hAnsi="宋体" w:cs="宋体"/>
          <w:color w:val="000000"/>
          <w:spacing w:val="0"/>
          <w:sz w:val="15"/>
        </w:rPr>
        <w:t>3.按规定内容、在规定时限和范围内公开的，但公开内容未够规范、完整、真实、准确的，得2</w:t>
      </w:r>
    </w:p>
    <w:p w14:paraId="29B320D3">
      <w:pPr>
        <w:framePr w:w="12089" w:wrap="auto" w:vAnchor="margin" w:hAnchor="text" w:x="3884" w:y="5479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求在单位门户网站或其他渠道公开绩效目标，所公开的绩效目</w:t>
      </w:r>
      <w:r>
        <w:rPr>
          <w:rFonts w:ascii="宋体"/>
          <w:color w:val="000000"/>
          <w:spacing w:val="80"/>
          <w:sz w:val="15"/>
        </w:rPr>
        <w:t xml:space="preserve"> </w:t>
      </w:r>
      <w:r>
        <w:rPr>
          <w:rFonts w:ascii="宋体" w:hAnsi="宋体" w:cs="宋体"/>
          <w:color w:val="000000"/>
          <w:spacing w:val="0"/>
          <w:sz w:val="15"/>
        </w:rPr>
        <w:t>分；</w:t>
      </w:r>
    </w:p>
    <w:p w14:paraId="40DE1F9A">
      <w:pPr>
        <w:framePr w:w="830" w:wrap="auto" w:vAnchor="margin" w:hAnchor="text" w:x="2710" w:y="5668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绩效目标</w:t>
      </w:r>
    </w:p>
    <w:p w14:paraId="6C39D462">
      <w:pPr>
        <w:framePr w:w="301" w:wrap="auto" w:vAnchor="margin" w:hAnchor="text" w:x="3584" w:y="5668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3</w:t>
      </w:r>
    </w:p>
    <w:p w14:paraId="4A20F49D">
      <w:pPr>
        <w:framePr w:w="301" w:wrap="auto" w:vAnchor="margin" w:hAnchor="text" w:x="15709" w:y="5668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3</w:t>
      </w:r>
    </w:p>
    <w:p w14:paraId="2DAB4EDA">
      <w:pPr>
        <w:framePr w:w="1913" w:wrap="auto" w:vAnchor="margin" w:hAnchor="text" w:x="3884" w:y="5858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标内容是否与批复一致。</w:t>
      </w:r>
    </w:p>
    <w:p w14:paraId="33B75F7C">
      <w:pPr>
        <w:framePr w:w="2174" w:wrap="auto" w:vAnchor="margin" w:hAnchor="text" w:x="8121" w:y="5858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4.没有进行公开的，得0分；</w:t>
      </w:r>
    </w:p>
    <w:p w14:paraId="5B5C3B5C">
      <w:pPr>
        <w:framePr w:w="7216" w:wrap="auto" w:vAnchor="margin" w:hAnchor="text" w:x="8121" w:y="6048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5.涉密单位不需要公开相关信息并及时提供涉密依据的，计3分；涉密单位不需要公开相关信息</w:t>
      </w:r>
    </w:p>
    <w:p w14:paraId="1593E85F">
      <w:pPr>
        <w:framePr w:w="7216" w:wrap="auto" w:vAnchor="margin" w:hAnchor="text" w:x="8121" w:y="6048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但未及时提供涉密依据的，计0分。</w:t>
      </w:r>
    </w:p>
    <w:p w14:paraId="7037AF4F">
      <w:pPr>
        <w:framePr w:w="679" w:wrap="auto" w:vAnchor="margin" w:hAnchor="text" w:x="789" w:y="6529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预算支</w:t>
      </w:r>
    </w:p>
    <w:p w14:paraId="0245E654">
      <w:pPr>
        <w:framePr w:w="679" w:wrap="auto" w:vAnchor="margin" w:hAnchor="text" w:x="789" w:y="6529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出管理</w:t>
      </w:r>
    </w:p>
    <w:p w14:paraId="1CC1DD16">
      <w:pPr>
        <w:framePr w:w="4782" w:wrap="auto" w:vAnchor="margin" w:hAnchor="text" w:x="3884" w:y="6549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年度实际支出数与年度实际收入数比率，用以考核和评价部门(</w:t>
      </w:r>
    </w:p>
    <w:p w14:paraId="5C4A322E">
      <w:pPr>
        <w:framePr w:w="376" w:wrap="auto" w:vAnchor="margin" w:hAnchor="text" w:x="1486" w:y="662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53</w:t>
      </w:r>
    </w:p>
    <w:p w14:paraId="69670669">
      <w:pPr>
        <w:framePr w:w="830" w:wrap="auto" w:vAnchor="margin" w:hAnchor="text" w:x="2665" w:y="6737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整体支出</w:t>
      </w:r>
    </w:p>
    <w:p w14:paraId="56272ABA">
      <w:pPr>
        <w:framePr w:w="830" w:wrap="auto" w:vAnchor="margin" w:hAnchor="text" w:x="2665" w:y="6737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完成率</w:t>
      </w:r>
    </w:p>
    <w:p w14:paraId="52FD17C6">
      <w:pPr>
        <w:framePr w:w="12191" w:wrap="auto" w:vAnchor="margin" w:hAnchor="text" w:x="3884" w:y="6737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单位）预算支出完成程度。整体支出完成率=部门(单位）年度</w:t>
      </w:r>
      <w:r>
        <w:rPr>
          <w:rFonts w:ascii="宋体"/>
          <w:color w:val="000000"/>
          <w:spacing w:val="64"/>
          <w:sz w:val="15"/>
        </w:rPr>
        <w:t xml:space="preserve"> </w:t>
      </w:r>
      <w:r>
        <w:rPr>
          <w:rFonts w:ascii="宋体" w:hAnsi="宋体" w:cs="宋体"/>
          <w:color w:val="000000"/>
          <w:spacing w:val="2"/>
          <w:sz w:val="15"/>
        </w:rPr>
        <w:t>结果≥100%，得5分；100%＞结果≥90%，得4分；90%＞结果≥80%，得3分；80%＞结果≥70%得2</w:t>
      </w:r>
    </w:p>
    <w:p w14:paraId="130A9F91">
      <w:pPr>
        <w:framePr w:w="301" w:wrap="auto" w:vAnchor="margin" w:hAnchor="text" w:x="3584" w:y="6832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5</w:t>
      </w:r>
    </w:p>
    <w:p w14:paraId="02DA8AC7">
      <w:pPr>
        <w:framePr w:w="301" w:wrap="auto" w:vAnchor="margin" w:hAnchor="text" w:x="3584" w:y="6832"/>
        <w:widowControl w:val="0"/>
        <w:autoSpaceDE w:val="0"/>
        <w:autoSpaceDN w:val="0"/>
        <w:spacing w:before="633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3</w:t>
      </w:r>
    </w:p>
    <w:p w14:paraId="51E9C4BA">
      <w:pPr>
        <w:framePr w:w="301" w:wrap="auto" w:vAnchor="margin" w:hAnchor="text" w:x="15709" w:y="6832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5</w:t>
      </w:r>
    </w:p>
    <w:p w14:paraId="7D5F3536">
      <w:pPr>
        <w:framePr w:w="301" w:wrap="auto" w:vAnchor="margin" w:hAnchor="text" w:x="15709" w:y="6832"/>
        <w:widowControl w:val="0"/>
        <w:autoSpaceDE w:val="0"/>
        <w:autoSpaceDN w:val="0"/>
        <w:spacing w:before="633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3</w:t>
      </w:r>
    </w:p>
    <w:p w14:paraId="614D60B6">
      <w:pPr>
        <w:framePr w:w="6767" w:wrap="auto" w:vAnchor="margin" w:hAnchor="text" w:x="3884" w:y="6927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实际支出/（上年结余结转+部门(单位）年度实际收入）×100%</w:t>
      </w:r>
      <w:r>
        <w:rPr>
          <w:rFonts w:ascii="宋体"/>
          <w:color w:val="000000"/>
          <w:spacing w:val="-11"/>
          <w:sz w:val="15"/>
        </w:rPr>
        <w:t xml:space="preserve"> </w:t>
      </w:r>
      <w:r>
        <w:rPr>
          <w:rFonts w:ascii="宋体" w:hAnsi="宋体" w:cs="宋体"/>
          <w:color w:val="000000"/>
          <w:spacing w:val="0"/>
          <w:sz w:val="15"/>
        </w:rPr>
        <w:t>分，结果＜70%，得0分。</w:t>
      </w:r>
    </w:p>
    <w:p w14:paraId="6D577850">
      <w:pPr>
        <w:framePr w:w="6767" w:wrap="auto" w:vAnchor="margin" w:hAnchor="text" w:x="3884" w:y="6927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。</w:t>
      </w:r>
    </w:p>
    <w:p w14:paraId="31141775">
      <w:pPr>
        <w:framePr w:w="7133" w:wrap="auto" w:vAnchor="margin" w:hAnchor="text" w:x="3884" w:y="7332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部门（单位）当年度结转结余额与当年度预算总额（预算总额</w:t>
      </w:r>
      <w:r>
        <w:rPr>
          <w:rFonts w:ascii="宋体"/>
          <w:color w:val="000000"/>
          <w:spacing w:val="80"/>
          <w:sz w:val="15"/>
        </w:rPr>
        <w:t xml:space="preserve"> </w:t>
      </w:r>
      <w:r>
        <w:rPr>
          <w:rFonts w:ascii="宋体" w:hAnsi="宋体" w:cs="宋体"/>
          <w:color w:val="000000"/>
          <w:spacing w:val="0"/>
          <w:sz w:val="15"/>
        </w:rPr>
        <w:t>1.比率≤5%的，得3分；</w:t>
      </w:r>
    </w:p>
    <w:p w14:paraId="4CCDE915">
      <w:pPr>
        <w:framePr w:w="7133" w:wrap="auto" w:vAnchor="margin" w:hAnchor="text" w:x="3884" w:y="7332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以一般公共预算、政府性基金预算、国有资本经营预算下达到</w:t>
      </w:r>
      <w:r>
        <w:rPr>
          <w:rFonts w:ascii="宋体"/>
          <w:color w:val="000000"/>
          <w:spacing w:val="80"/>
          <w:sz w:val="15"/>
        </w:rPr>
        <w:t xml:space="preserve"> </w:t>
      </w:r>
      <w:r>
        <w:rPr>
          <w:rFonts w:ascii="宋体" w:hAnsi="宋体" w:cs="宋体"/>
          <w:color w:val="000000"/>
          <w:spacing w:val="0"/>
          <w:sz w:val="15"/>
        </w:rPr>
        <w:t>2.5%&lt;比率≤10%的，得2分；</w:t>
      </w:r>
    </w:p>
    <w:p w14:paraId="09F75B16">
      <w:pPr>
        <w:framePr w:w="7133" w:wrap="auto" w:vAnchor="margin" w:hAnchor="text" w:x="3884" w:y="7332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部门的当年度资金之和计算，不计上年结转资金）的比率，用</w:t>
      </w:r>
      <w:r>
        <w:rPr>
          <w:rFonts w:ascii="宋体"/>
          <w:color w:val="000000"/>
          <w:spacing w:val="80"/>
          <w:sz w:val="15"/>
        </w:rPr>
        <w:t xml:space="preserve"> </w:t>
      </w:r>
      <w:r>
        <w:rPr>
          <w:rFonts w:ascii="宋体" w:hAnsi="宋体" w:cs="宋体"/>
          <w:color w:val="000000"/>
          <w:spacing w:val="0"/>
          <w:sz w:val="15"/>
        </w:rPr>
        <w:t>3.10%&lt;比率≤15%的，得1分；</w:t>
      </w:r>
    </w:p>
    <w:p w14:paraId="1C87B036">
      <w:pPr>
        <w:framePr w:w="7133" w:wrap="auto" w:vAnchor="margin" w:hAnchor="text" w:x="3884" w:y="7332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以反映和考核部门（单位）对结转结余资金的实际控制程度。</w:t>
      </w:r>
      <w:r>
        <w:rPr>
          <w:rFonts w:ascii="宋体"/>
          <w:color w:val="000000"/>
          <w:spacing w:val="80"/>
          <w:sz w:val="15"/>
        </w:rPr>
        <w:t xml:space="preserve"> </w:t>
      </w:r>
      <w:r>
        <w:rPr>
          <w:rFonts w:ascii="宋体" w:hAnsi="宋体" w:cs="宋体"/>
          <w:color w:val="000000"/>
          <w:spacing w:val="0"/>
          <w:sz w:val="15"/>
        </w:rPr>
        <w:t>4.比率&gt;15%的，得0分。</w:t>
      </w:r>
    </w:p>
    <w:p w14:paraId="66C93CBD">
      <w:pPr>
        <w:framePr w:w="830" w:wrap="auto" w:vAnchor="margin" w:hAnchor="text" w:x="2710" w:y="7522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结转结余</w:t>
      </w:r>
    </w:p>
    <w:p w14:paraId="195248CE">
      <w:pPr>
        <w:framePr w:w="830" w:wrap="auto" w:vAnchor="margin" w:hAnchor="text" w:x="2710" w:y="7522"/>
        <w:widowControl w:val="0"/>
        <w:autoSpaceDE w:val="0"/>
        <w:autoSpaceDN w:val="0"/>
        <w:spacing w:before="39" w:after="0" w:line="151" w:lineRule="exact"/>
        <w:ind w:left="227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率</w:t>
      </w:r>
    </w:p>
    <w:p w14:paraId="0512E1AA">
      <w:pPr>
        <w:framePr w:w="830" w:wrap="auto" w:vAnchor="margin" w:hAnchor="text" w:x="2665" w:y="8249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bookmarkStart w:id="0" w:name="_GoBack"/>
      <w:bookmarkEnd w:id="0"/>
      <w:r>
        <w:rPr>
          <w:rFonts w:ascii="宋体" w:hAnsi="宋体" w:cs="宋体"/>
          <w:color w:val="000000"/>
          <w:spacing w:val="0"/>
          <w:sz w:val="15"/>
        </w:rPr>
        <w:t>三公经费</w:t>
      </w:r>
    </w:p>
    <w:p w14:paraId="1E2ECB54">
      <w:pPr>
        <w:framePr w:w="830" w:wrap="auto" w:vAnchor="margin" w:hAnchor="text" w:x="2665" w:y="8249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控制率</w:t>
      </w:r>
    </w:p>
    <w:p w14:paraId="71B5D21B">
      <w:pPr>
        <w:framePr w:w="9133" w:wrap="auto" w:vAnchor="margin" w:hAnchor="text" w:x="3884" w:y="8249"/>
        <w:widowControl w:val="0"/>
        <w:autoSpaceDE w:val="0"/>
        <w:autoSpaceDN w:val="0"/>
        <w:spacing w:before="0" w:after="0" w:line="151" w:lineRule="exact"/>
        <w:ind w:left="151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“三公</w:t>
      </w:r>
      <w:r>
        <w:rPr>
          <w:rFonts w:hint="eastAsia" w:ascii="宋体" w:hAnsi="宋体" w:cs="宋体"/>
          <w:color w:val="000000"/>
          <w:spacing w:val="0"/>
          <w:sz w:val="15"/>
          <w:lang w:eastAsia="zh-CN"/>
        </w:rPr>
        <w:t>”</w:t>
      </w:r>
      <w:r>
        <w:rPr>
          <w:rFonts w:ascii="宋体" w:hAnsi="宋体" w:cs="宋体"/>
          <w:color w:val="000000"/>
          <w:spacing w:val="0"/>
          <w:sz w:val="15"/>
        </w:rPr>
        <w:t>经费控制率=（“三公</w:t>
      </w:r>
      <w:r>
        <w:rPr>
          <w:rFonts w:hint="eastAsia" w:ascii="宋体" w:hAnsi="宋体" w:cs="宋体"/>
          <w:color w:val="000000"/>
          <w:spacing w:val="0"/>
          <w:sz w:val="15"/>
          <w:lang w:eastAsia="zh-CN"/>
        </w:rPr>
        <w:t>”</w:t>
      </w:r>
      <w:r>
        <w:rPr>
          <w:rFonts w:ascii="宋体" w:hAnsi="宋体" w:cs="宋体"/>
          <w:color w:val="000000"/>
          <w:spacing w:val="0"/>
          <w:sz w:val="15"/>
        </w:rPr>
        <w:t>经费实际支出数/“三公</w:t>
      </w:r>
      <w:r>
        <w:rPr>
          <w:rFonts w:hint="eastAsia" w:ascii="宋体" w:hAnsi="宋体" w:cs="宋体"/>
          <w:color w:val="000000"/>
          <w:spacing w:val="0"/>
          <w:sz w:val="15"/>
          <w:lang w:eastAsia="zh-CN"/>
        </w:rPr>
        <w:t>”</w:t>
      </w:r>
      <w:r>
        <w:rPr>
          <w:rFonts w:ascii="宋体" w:hAnsi="宋体" w:cs="宋体"/>
          <w:color w:val="000000"/>
          <w:spacing w:val="0"/>
          <w:sz w:val="15"/>
        </w:rPr>
        <w:t>经</w:t>
      </w:r>
    </w:p>
    <w:p w14:paraId="362D09F2">
      <w:pPr>
        <w:framePr w:w="9133" w:wrap="auto" w:vAnchor="margin" w:hAnchor="text" w:x="3884" w:y="8249"/>
        <w:widowControl w:val="0"/>
        <w:autoSpaceDE w:val="0"/>
        <w:autoSpaceDN w:val="0"/>
        <w:spacing w:before="0" w:after="0" w:line="151" w:lineRule="exact"/>
        <w:ind w:left="4237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100%以下（含）计满分，每超出1%扣0.5分，扣完为止。</w:t>
      </w:r>
    </w:p>
    <w:p w14:paraId="5873991A">
      <w:pPr>
        <w:framePr w:w="9133" w:wrap="auto" w:vAnchor="margin" w:hAnchor="text" w:x="3884" w:y="8249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费预算安排数）×100%。</w:t>
      </w:r>
    </w:p>
    <w:p w14:paraId="4F2B5C05">
      <w:pPr>
        <w:framePr w:w="301" w:wrap="auto" w:vAnchor="margin" w:hAnchor="text" w:x="3584" w:y="834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5</w:t>
      </w:r>
    </w:p>
    <w:p w14:paraId="4D1649CF">
      <w:pPr>
        <w:framePr w:w="301" w:wrap="auto" w:vAnchor="margin" w:hAnchor="text" w:x="3584" w:y="8344"/>
        <w:widowControl w:val="0"/>
        <w:autoSpaceDE w:val="0"/>
        <w:autoSpaceDN w:val="0"/>
        <w:spacing w:before="475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5</w:t>
      </w:r>
    </w:p>
    <w:p w14:paraId="57E1B7A6">
      <w:pPr>
        <w:framePr w:w="301" w:wrap="auto" w:vAnchor="margin" w:hAnchor="text" w:x="15709" w:y="834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5</w:t>
      </w:r>
    </w:p>
    <w:p w14:paraId="4F79D7ED">
      <w:pPr>
        <w:framePr w:w="301" w:wrap="auto" w:vAnchor="margin" w:hAnchor="text" w:x="15709" w:y="8344"/>
        <w:widowControl w:val="0"/>
        <w:autoSpaceDE w:val="0"/>
        <w:autoSpaceDN w:val="0"/>
        <w:spacing w:before="475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5</w:t>
      </w:r>
    </w:p>
    <w:p w14:paraId="571CB7D4">
      <w:pPr>
        <w:framePr w:w="527" w:wrap="auto" w:vAnchor="margin" w:hAnchor="text" w:x="1869" w:y="8433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支出</w:t>
      </w:r>
    </w:p>
    <w:p w14:paraId="4D5CC863">
      <w:pPr>
        <w:framePr w:w="527" w:wrap="auto" w:vAnchor="margin" w:hAnchor="text" w:x="1869" w:y="8433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管理</w:t>
      </w:r>
    </w:p>
    <w:p w14:paraId="4FFF2D83">
      <w:pPr>
        <w:framePr w:w="376" w:wrap="auto" w:vAnchor="margin" w:hAnchor="text" w:x="2345" w:y="8528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28</w:t>
      </w:r>
    </w:p>
    <w:p w14:paraId="0D6456B5">
      <w:pPr>
        <w:framePr w:w="4521" w:wrap="auto" w:vAnchor="margin" w:hAnchor="text" w:x="4035" w:y="8781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公用经费控制率=（实际支出公用经费总额/预算安排公用经</w:t>
      </w:r>
    </w:p>
    <w:p w14:paraId="1F2BB9E8">
      <w:pPr>
        <w:framePr w:w="830" w:wrap="auto" w:vAnchor="margin" w:hAnchor="text" w:x="2665" w:y="8876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公用经费</w:t>
      </w:r>
    </w:p>
    <w:p w14:paraId="36F6FEA2">
      <w:pPr>
        <w:framePr w:w="830" w:wrap="auto" w:vAnchor="margin" w:hAnchor="text" w:x="2665" w:y="8876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控制率</w:t>
      </w:r>
    </w:p>
    <w:p w14:paraId="344D2123">
      <w:pPr>
        <w:framePr w:w="1435" w:wrap="auto" w:vAnchor="margin" w:hAnchor="text" w:x="3884" w:y="8970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费总额）×100%。</w:t>
      </w:r>
    </w:p>
    <w:p w14:paraId="1C7D43B8">
      <w:pPr>
        <w:framePr w:w="4260" w:wrap="auto" w:vAnchor="margin" w:hAnchor="text" w:x="8121" w:y="8970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100%以下（含）计满分，每超出1%扣0.5分，扣完为止。</w:t>
      </w:r>
    </w:p>
    <w:p w14:paraId="7FEFDE1C">
      <w:pPr>
        <w:framePr w:w="4521" w:wrap="auto" w:vAnchor="margin" w:hAnchor="text" w:x="3884" w:y="9160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公用经费支出是指部门基本支出中的一般商品和服务支出。</w:t>
      </w:r>
    </w:p>
    <w:p w14:paraId="342FA582">
      <w:pPr>
        <w:framePr w:w="3565" w:wrap="auto" w:vAnchor="margin" w:hAnchor="text" w:x="8423" w:y="9559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本指标得分=本指标满分分值×政府采购执行率</w:t>
      </w:r>
    </w:p>
    <w:p w14:paraId="4707B73F">
      <w:pPr>
        <w:framePr w:w="6086" w:wrap="auto" w:vAnchor="margin" w:hAnchor="text" w:x="8423" w:y="9749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其中：政府采购执行率=（实际采购金额合计数/采购计划金额合计数）×100%；</w:t>
      </w:r>
    </w:p>
    <w:p w14:paraId="40951237">
      <w:pPr>
        <w:framePr w:w="6086" w:wrap="auto" w:vAnchor="margin" w:hAnchor="text" w:x="8423" w:y="9749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如实际采购金额大于采购计划金额则本项不得分。</w:t>
      </w:r>
    </w:p>
    <w:p w14:paraId="1CFF3ADF">
      <w:pPr>
        <w:framePr w:w="830" w:wrap="auto" w:vAnchor="margin" w:hAnchor="text" w:x="2665" w:y="9843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政府采购</w:t>
      </w:r>
    </w:p>
    <w:p w14:paraId="4B5886B8">
      <w:pPr>
        <w:framePr w:w="830" w:wrap="auto" w:vAnchor="margin" w:hAnchor="text" w:x="2665" w:y="9843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执行率</w:t>
      </w:r>
    </w:p>
    <w:p w14:paraId="44DD6C3A">
      <w:pPr>
        <w:framePr w:w="4695" w:wrap="auto" w:vAnchor="margin" w:hAnchor="text" w:x="3884" w:y="9843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部门（单位）本年度实际政府采购金额与年度政府采购预算的</w:t>
      </w:r>
    </w:p>
    <w:p w14:paraId="47A16E16">
      <w:pPr>
        <w:framePr w:w="4695" w:wrap="auto" w:vAnchor="margin" w:hAnchor="text" w:x="3884" w:y="9843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比率，用以反映和考核部门（单位）政府采购预算执行情况。</w:t>
      </w:r>
    </w:p>
    <w:p w14:paraId="0611C624">
      <w:pPr>
        <w:framePr w:w="301" w:wrap="auto" w:vAnchor="margin" w:hAnchor="text" w:x="3584" w:y="9938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5</w:t>
      </w:r>
    </w:p>
    <w:p w14:paraId="3A6423D4">
      <w:pPr>
        <w:framePr w:w="301" w:wrap="auto" w:vAnchor="margin" w:hAnchor="text" w:x="15709" w:y="9938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5</w:t>
      </w:r>
    </w:p>
    <w:p w14:paraId="5C243DBB">
      <w:pPr>
        <w:framePr w:w="7129" w:wrap="auto" w:vAnchor="margin" w:hAnchor="text" w:x="8121" w:y="10128"/>
        <w:widowControl w:val="0"/>
        <w:autoSpaceDE w:val="0"/>
        <w:autoSpaceDN w:val="0"/>
        <w:spacing w:before="0" w:after="0" w:line="151" w:lineRule="exact"/>
        <w:ind w:left="302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政府采购预算是指采购机关根据事业发展计划和行政任务编制的、并经过规定程序批准的</w:t>
      </w:r>
    </w:p>
    <w:p w14:paraId="736E10CB">
      <w:pPr>
        <w:framePr w:w="7129" w:wrap="auto" w:vAnchor="margin" w:hAnchor="text" w:x="8121" w:y="10128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年度政府采购计划。</w:t>
      </w:r>
    </w:p>
    <w:p w14:paraId="5D49715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36.85pt;margin-top:77.85pt;height:454.1pt;width:765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836333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8CAF04B">
      <w:pPr>
        <w:framePr w:w="5023" w:wrap="auto" w:vAnchor="margin" w:hAnchor="text" w:x="6197" w:y="900"/>
        <w:widowControl w:val="0"/>
        <w:autoSpaceDE w:val="0"/>
        <w:autoSpaceDN w:val="0"/>
        <w:spacing w:before="0" w:after="0" w:line="336" w:lineRule="exact"/>
        <w:ind w:left="0" w:right="0" w:firstLine="0"/>
        <w:jc w:val="left"/>
        <w:rPr>
          <w:rFonts w:ascii="宋体"/>
          <w:color w:val="000000"/>
          <w:spacing w:val="0"/>
          <w:sz w:val="34"/>
        </w:rPr>
      </w:pPr>
      <w:r>
        <w:rPr>
          <w:rFonts w:ascii="宋体" w:hAnsi="宋体" w:cs="宋体"/>
          <w:color w:val="000000"/>
          <w:spacing w:val="0"/>
          <w:sz w:val="34"/>
        </w:rPr>
        <w:t>部门整体支出绩效评价评分表</w:t>
      </w:r>
    </w:p>
    <w:p w14:paraId="7A60FA49">
      <w:pPr>
        <w:framePr w:w="824" w:wrap="auto" w:vAnchor="margin" w:hAnchor="text" w:x="772" w:y="1355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单位：</w:t>
      </w:r>
    </w:p>
    <w:p w14:paraId="1E5FEE10">
      <w:pPr>
        <w:framePr w:w="1106" w:wrap="auto" w:vAnchor="margin" w:hAnchor="text" w:x="1889" w:y="1636"/>
        <w:widowControl w:val="0"/>
        <w:autoSpaceDE w:val="0"/>
        <w:autoSpaceDN w:val="0"/>
        <w:spacing w:before="0" w:after="0" w:line="202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评价指标</w:t>
      </w:r>
    </w:p>
    <w:p w14:paraId="47EEC1F8">
      <w:pPr>
        <w:framePr w:w="1917" w:wrap="auto" w:vAnchor="margin" w:hAnchor="text" w:x="932" w:y="2005"/>
        <w:widowControl w:val="0"/>
        <w:autoSpaceDE w:val="0"/>
        <w:autoSpaceDN w:val="0"/>
        <w:spacing w:before="0" w:after="0" w:line="175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一级指标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二级指标</w:t>
      </w:r>
    </w:p>
    <w:p w14:paraId="4AE1F28C">
      <w:pPr>
        <w:framePr w:w="1917" w:wrap="auto" w:vAnchor="margin" w:hAnchor="text" w:x="932" w:y="2005"/>
        <w:widowControl w:val="0"/>
        <w:autoSpaceDE w:val="0"/>
        <w:autoSpaceDN w:val="0"/>
        <w:spacing w:before="54" w:after="0" w:line="175" w:lineRule="exact"/>
        <w:ind w:left="140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权</w:t>
      </w:r>
    </w:p>
    <w:p w14:paraId="235C6B3B">
      <w:pPr>
        <w:framePr w:w="971" w:wrap="auto" w:vAnchor="margin" w:hAnchor="text" w:x="2888" w:y="2005"/>
        <w:widowControl w:val="0"/>
        <w:autoSpaceDE w:val="0"/>
        <w:autoSpaceDN w:val="0"/>
        <w:spacing w:before="0" w:after="0" w:line="175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三级指标</w:t>
      </w:r>
    </w:p>
    <w:p w14:paraId="1B4007CB">
      <w:pPr>
        <w:framePr w:w="1106" w:wrap="auto" w:vAnchor="margin" w:hAnchor="text" w:x="5563" w:y="2067"/>
        <w:widowControl w:val="0"/>
        <w:autoSpaceDE w:val="0"/>
        <w:autoSpaceDN w:val="0"/>
        <w:spacing w:before="0" w:after="0" w:line="202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指标说明</w:t>
      </w:r>
    </w:p>
    <w:p w14:paraId="1DD1A2B6">
      <w:pPr>
        <w:framePr w:w="1106" w:wrap="auto" w:vAnchor="margin" w:hAnchor="text" w:x="10892" w:y="2067"/>
        <w:widowControl w:val="0"/>
        <w:autoSpaceDE w:val="0"/>
        <w:autoSpaceDN w:val="0"/>
        <w:spacing w:before="0" w:after="0" w:line="202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评分标准</w:t>
      </w:r>
    </w:p>
    <w:p w14:paraId="31FECEAE">
      <w:pPr>
        <w:framePr w:w="1665" w:wrap="auto" w:vAnchor="margin" w:hAnchor="text" w:x="14583" w:y="2067"/>
        <w:widowControl w:val="0"/>
        <w:autoSpaceDE w:val="0"/>
        <w:autoSpaceDN w:val="0"/>
        <w:spacing w:before="0" w:after="0" w:line="202" w:lineRule="exact"/>
        <w:ind w:left="0" w:right="0" w:firstLine="0"/>
        <w:jc w:val="left"/>
        <w:rPr>
          <w:rFonts w:ascii="宋体"/>
          <w:color w:val="000000"/>
          <w:spacing w:val="0"/>
          <w:sz w:val="20"/>
        </w:rPr>
      </w:pPr>
      <w:r>
        <w:rPr>
          <w:rFonts w:ascii="宋体" w:hAnsi="宋体" w:cs="宋体"/>
          <w:color w:val="000000"/>
          <w:spacing w:val="0"/>
          <w:sz w:val="20"/>
        </w:rPr>
        <w:t>扣分说明</w:t>
      </w:r>
      <w:r>
        <w:rPr>
          <w:rFonts w:ascii="Times New Roman"/>
          <w:color w:val="000000"/>
          <w:spacing w:val="106"/>
          <w:sz w:val="20"/>
        </w:rPr>
        <w:t xml:space="preserve"> </w:t>
      </w:r>
      <w:r>
        <w:rPr>
          <w:rFonts w:ascii="宋体" w:hAnsi="宋体" w:cs="宋体"/>
          <w:color w:val="000000"/>
          <w:spacing w:val="0"/>
          <w:sz w:val="20"/>
        </w:rPr>
        <w:t>得分</w:t>
      </w:r>
    </w:p>
    <w:p w14:paraId="193DD692">
      <w:pPr>
        <w:framePr w:w="620" w:wrap="auto" w:vAnchor="margin" w:hAnchor="text" w:x="1386" w:y="2336"/>
        <w:widowControl w:val="0"/>
        <w:autoSpaceDE w:val="0"/>
        <w:autoSpaceDN w:val="0"/>
        <w:spacing w:before="0" w:after="0" w:line="175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权重</w:t>
      </w:r>
    </w:p>
    <w:p w14:paraId="1A34660D">
      <w:pPr>
        <w:framePr w:w="620" w:wrap="auto" w:vAnchor="margin" w:hAnchor="text" w:x="1386" w:y="2336"/>
        <w:widowControl w:val="0"/>
        <w:autoSpaceDE w:val="0"/>
        <w:autoSpaceDN w:val="0"/>
        <w:spacing w:before="27" w:after="0" w:line="175" w:lineRule="exact"/>
        <w:ind w:left="44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0"/>
          <w:sz w:val="18"/>
        </w:rPr>
        <w:t>(%)</w:t>
      </w:r>
    </w:p>
    <w:p w14:paraId="02DD3A06">
      <w:pPr>
        <w:framePr w:w="445" w:wrap="auto" w:vAnchor="margin" w:hAnchor="text" w:x="1932" w:y="2336"/>
        <w:widowControl w:val="0"/>
        <w:autoSpaceDE w:val="0"/>
        <w:autoSpaceDN w:val="0"/>
        <w:spacing w:before="0" w:after="0" w:line="175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名</w:t>
      </w:r>
    </w:p>
    <w:p w14:paraId="61BE043F">
      <w:pPr>
        <w:framePr w:w="445" w:wrap="auto" w:vAnchor="margin" w:hAnchor="text" w:x="1932" w:y="2336"/>
        <w:widowControl w:val="0"/>
        <w:autoSpaceDE w:val="0"/>
        <w:autoSpaceDN w:val="0"/>
        <w:spacing w:before="27" w:after="0" w:line="175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称</w:t>
      </w:r>
    </w:p>
    <w:p w14:paraId="6EA8681B">
      <w:pPr>
        <w:framePr w:w="620" w:wrap="auto" w:vAnchor="margin" w:hAnchor="text" w:x="3446" w:y="2336"/>
        <w:widowControl w:val="0"/>
        <w:autoSpaceDE w:val="0"/>
        <w:autoSpaceDN w:val="0"/>
        <w:spacing w:before="0" w:after="0" w:line="175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权重</w:t>
      </w:r>
    </w:p>
    <w:p w14:paraId="316606A7">
      <w:pPr>
        <w:framePr w:w="620" w:wrap="auto" w:vAnchor="margin" w:hAnchor="text" w:x="3446" w:y="2336"/>
        <w:widowControl w:val="0"/>
        <w:autoSpaceDE w:val="0"/>
        <w:autoSpaceDN w:val="0"/>
        <w:spacing w:before="27" w:after="0" w:line="175" w:lineRule="exact"/>
        <w:ind w:left="44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0"/>
          <w:sz w:val="18"/>
        </w:rPr>
        <w:t>(%)</w:t>
      </w:r>
    </w:p>
    <w:p w14:paraId="77B1D637">
      <w:pPr>
        <w:framePr w:w="620" w:wrap="auto" w:vAnchor="margin" w:hAnchor="text" w:x="840" w:y="2437"/>
        <w:widowControl w:val="0"/>
        <w:autoSpaceDE w:val="0"/>
        <w:autoSpaceDN w:val="0"/>
        <w:spacing w:before="0" w:after="0" w:line="175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名称</w:t>
      </w:r>
    </w:p>
    <w:p w14:paraId="2E9F494C">
      <w:pPr>
        <w:framePr w:w="533" w:wrap="auto" w:vAnchor="margin" w:hAnchor="text" w:x="2289" w:y="2437"/>
        <w:widowControl w:val="0"/>
        <w:autoSpaceDE w:val="0"/>
        <w:autoSpaceDN w:val="0"/>
        <w:spacing w:before="0" w:after="0" w:line="175" w:lineRule="exact"/>
        <w:ind w:left="44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重</w:t>
      </w:r>
    </w:p>
    <w:p w14:paraId="7BCCDD68">
      <w:pPr>
        <w:framePr w:w="533" w:wrap="auto" w:vAnchor="margin" w:hAnchor="text" w:x="2289" w:y="2437"/>
        <w:widowControl w:val="0"/>
        <w:autoSpaceDE w:val="0"/>
        <w:autoSpaceDN w:val="0"/>
        <w:spacing w:before="27" w:after="0" w:line="175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/>
          <w:color w:val="000000"/>
          <w:spacing w:val="0"/>
          <w:sz w:val="18"/>
        </w:rPr>
        <w:t>(%)</w:t>
      </w:r>
    </w:p>
    <w:p w14:paraId="5D34C8F7">
      <w:pPr>
        <w:framePr w:w="620" w:wrap="auto" w:vAnchor="margin" w:hAnchor="text" w:x="2837" w:y="2437"/>
        <w:widowControl w:val="0"/>
        <w:autoSpaceDE w:val="0"/>
        <w:autoSpaceDN w:val="0"/>
        <w:spacing w:before="0" w:after="0" w:line="175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名称</w:t>
      </w:r>
    </w:p>
    <w:p w14:paraId="2F98AAE1">
      <w:pPr>
        <w:framePr w:w="7216" w:wrap="auto" w:vAnchor="margin" w:hAnchor="text" w:x="8121" w:y="2815"/>
        <w:widowControl w:val="0"/>
        <w:autoSpaceDE w:val="0"/>
        <w:autoSpaceDN w:val="0"/>
        <w:spacing w:before="0" w:after="0" w:line="151" w:lineRule="exact"/>
        <w:ind w:left="302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1.项目（含专项工作经费）资金支出规范性2分。按规定履行调整报批手续或未发生调整的</w:t>
      </w:r>
    </w:p>
    <w:p w14:paraId="20214C4D">
      <w:pPr>
        <w:framePr w:w="7216" w:wrap="auto" w:vAnchor="margin" w:hAnchor="text" w:x="8121" w:y="2815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，能按事项完成进度支付资金且合法合规的得2分，否则酌情扣分；如果部门（单位）当年没有</w:t>
      </w:r>
    </w:p>
    <w:p w14:paraId="55E361F0">
      <w:pPr>
        <w:framePr w:w="7216" w:wrap="auto" w:vAnchor="margin" w:hAnchor="text" w:x="8121" w:y="2815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项目（含专项工作经费）支出的得2分。</w:t>
      </w:r>
    </w:p>
    <w:p w14:paraId="52AF5AFE">
      <w:pPr>
        <w:framePr w:w="4695" w:wrap="auto" w:vAnchor="margin" w:hAnchor="text" w:x="3884" w:y="3100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主要考核部门（单位）资金支出规范性，包括单位基本支出管</w:t>
      </w:r>
    </w:p>
    <w:p w14:paraId="5A0E6180">
      <w:pPr>
        <w:framePr w:w="4695" w:wrap="auto" w:vAnchor="margin" w:hAnchor="text" w:x="3884" w:y="3100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理、项目（含专项工作经费）资金管理、费用支出等制度是否</w:t>
      </w:r>
    </w:p>
    <w:p w14:paraId="2B54D33D">
      <w:pPr>
        <w:framePr w:w="4695" w:wrap="auto" w:vAnchor="margin" w:hAnchor="text" w:x="3884" w:y="3100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严格执行；会计核算是否存在支出依据不合规、虚列支出的情</w:t>
      </w:r>
    </w:p>
    <w:p w14:paraId="28702C3B">
      <w:pPr>
        <w:framePr w:w="4695" w:wrap="auto" w:vAnchor="margin" w:hAnchor="text" w:x="3884" w:y="3100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况；是否存在截留、挤占、挪用项目资金情况；是否存在超标</w:t>
      </w:r>
    </w:p>
    <w:p w14:paraId="3F280092">
      <w:pPr>
        <w:framePr w:w="4695" w:wrap="auto" w:vAnchor="margin" w:hAnchor="text" w:x="3884" w:y="3100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准开支等情况。</w:t>
      </w:r>
    </w:p>
    <w:p w14:paraId="5AF1E264">
      <w:pPr>
        <w:framePr w:w="527" w:wrap="auto" w:vAnchor="margin" w:hAnchor="text" w:x="1864" w:y="3385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支出</w:t>
      </w:r>
    </w:p>
    <w:p w14:paraId="3997CCF2">
      <w:pPr>
        <w:framePr w:w="527" w:wrap="auto" w:vAnchor="margin" w:hAnchor="text" w:x="1864" w:y="3385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管理</w:t>
      </w:r>
    </w:p>
    <w:p w14:paraId="60A74825">
      <w:pPr>
        <w:framePr w:w="830" w:wrap="auto" w:vAnchor="margin" w:hAnchor="text" w:x="2710" w:y="3385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财务合规</w:t>
      </w:r>
    </w:p>
    <w:p w14:paraId="0E61311B">
      <w:pPr>
        <w:framePr w:w="830" w:wrap="auto" w:vAnchor="margin" w:hAnchor="text" w:x="2710" w:y="3385"/>
        <w:widowControl w:val="0"/>
        <w:autoSpaceDE w:val="0"/>
        <w:autoSpaceDN w:val="0"/>
        <w:spacing w:before="39" w:after="0" w:line="151" w:lineRule="exact"/>
        <w:ind w:left="227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性</w:t>
      </w:r>
    </w:p>
    <w:p w14:paraId="63F78791">
      <w:pPr>
        <w:framePr w:w="7129" w:wrap="auto" w:vAnchor="margin" w:hAnchor="text" w:x="8121" w:y="3385"/>
        <w:widowControl w:val="0"/>
        <w:autoSpaceDE w:val="0"/>
        <w:autoSpaceDN w:val="0"/>
        <w:spacing w:before="0" w:after="0" w:line="151" w:lineRule="exact"/>
        <w:ind w:left="302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2.基本支出的合规性2分。资金管理、费用标准、支付符合有关制度规定的得2分，超范围</w:t>
      </w:r>
    </w:p>
    <w:p w14:paraId="67CDABAE">
      <w:pPr>
        <w:framePr w:w="7129" w:wrap="auto" w:vAnchor="margin" w:hAnchor="text" w:x="8121" w:y="3385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、超标准支出，虚列支出，截留、挤占、挪用资金的，以及其他不符合制度规定支出的，视情</w:t>
      </w:r>
    </w:p>
    <w:p w14:paraId="5F277230">
      <w:pPr>
        <w:framePr w:w="7129" w:wrap="auto" w:vAnchor="margin" w:hAnchor="text" w:x="8121" w:y="3385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节严重情况扣分，直至扣到0分；</w:t>
      </w:r>
    </w:p>
    <w:p w14:paraId="08680DB6">
      <w:pPr>
        <w:framePr w:w="376" w:wrap="auto" w:vAnchor="margin" w:hAnchor="text" w:x="2438" w:y="3480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28</w:t>
      </w:r>
    </w:p>
    <w:p w14:paraId="5F1E3D6A">
      <w:pPr>
        <w:framePr w:w="301" w:wrap="auto" w:vAnchor="margin" w:hAnchor="text" w:x="3584" w:y="3480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5</w:t>
      </w:r>
    </w:p>
    <w:p w14:paraId="0BBC6CBC">
      <w:pPr>
        <w:framePr w:w="301" w:wrap="auto" w:vAnchor="margin" w:hAnchor="text" w:x="15709" w:y="3480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4</w:t>
      </w:r>
    </w:p>
    <w:p w14:paraId="3940A367">
      <w:pPr>
        <w:framePr w:w="7129" w:wrap="auto" w:vAnchor="margin" w:hAnchor="text" w:x="8121" w:y="3954"/>
        <w:widowControl w:val="0"/>
        <w:autoSpaceDE w:val="0"/>
        <w:autoSpaceDN w:val="0"/>
        <w:spacing w:before="0" w:after="0" w:line="151" w:lineRule="exact"/>
        <w:ind w:left="302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3.会计核算规范性1分。规范执行会计核算制度得1分，未按规定设专账核算，或支出凭证</w:t>
      </w:r>
    </w:p>
    <w:p w14:paraId="29BDA8E0">
      <w:pPr>
        <w:framePr w:w="7129" w:wrap="auto" w:vAnchor="margin" w:hAnchor="text" w:x="8121" w:y="3954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不符合规定，或其他核算不规范的，计0分。</w:t>
      </w:r>
    </w:p>
    <w:p w14:paraId="30400A00">
      <w:pPr>
        <w:framePr w:w="5825" w:wrap="auto" w:vAnchor="margin" w:hAnchor="text" w:x="8121" w:y="4409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1.项目或方案调整按规定履行报批手续，得0.5分；</w:t>
      </w:r>
    </w:p>
    <w:p w14:paraId="59E5C0BC">
      <w:pPr>
        <w:framePr w:w="5825" w:wrap="auto" w:vAnchor="margin" w:hAnchor="text" w:x="8121" w:y="4409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2.项目招投标、建设、验收等或方案实施严格执行相关制度规定的，得1分；</w:t>
      </w:r>
    </w:p>
    <w:p w14:paraId="79DFC93E">
      <w:pPr>
        <w:framePr w:w="5825" w:wrap="auto" w:vAnchor="margin" w:hAnchor="text" w:x="8121" w:y="4409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3.项目实施过程规范的，得1分；</w:t>
      </w:r>
    </w:p>
    <w:p w14:paraId="484BCD4C">
      <w:pPr>
        <w:framePr w:w="4782" w:wrap="auto" w:vAnchor="margin" w:hAnchor="text" w:x="3884" w:y="469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主要考核部门（单位）所有项目支出（含专项工作经费）实施</w:t>
      </w:r>
    </w:p>
    <w:p w14:paraId="12AAE9EB">
      <w:pPr>
        <w:framePr w:w="4782" w:wrap="auto" w:vAnchor="margin" w:hAnchor="text" w:x="3884" w:y="4694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过程是否规范,包括是否符合申报条件；申报、批复程序是否符</w:t>
      </w:r>
    </w:p>
    <w:p w14:paraId="696EBE93">
      <w:pPr>
        <w:framePr w:w="4782" w:wrap="auto" w:vAnchor="margin" w:hAnchor="text" w:x="3884" w:y="4694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合相关管理办法；项目招投标、调整、完成验收等是否履行相</w:t>
      </w:r>
    </w:p>
    <w:p w14:paraId="6D35520D">
      <w:pPr>
        <w:framePr w:w="4782" w:wrap="auto" w:vAnchor="margin" w:hAnchor="text" w:x="3884" w:y="4694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应手续等。</w:t>
      </w:r>
    </w:p>
    <w:p w14:paraId="0EB0FDDB">
      <w:pPr>
        <w:framePr w:w="830" w:wrap="auto" w:vAnchor="margin" w:hAnchor="text" w:x="2710" w:y="488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项目实施</w:t>
      </w:r>
    </w:p>
    <w:p w14:paraId="49174522">
      <w:pPr>
        <w:framePr w:w="830" w:wrap="auto" w:vAnchor="margin" w:hAnchor="text" w:x="2710" w:y="4884"/>
        <w:widowControl w:val="0"/>
        <w:autoSpaceDE w:val="0"/>
        <w:autoSpaceDN w:val="0"/>
        <w:spacing w:before="39" w:after="0" w:line="151" w:lineRule="exact"/>
        <w:ind w:left="151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程序</w:t>
      </w:r>
    </w:p>
    <w:p w14:paraId="27748B3D">
      <w:pPr>
        <w:framePr w:w="452" w:wrap="auto" w:vAnchor="margin" w:hAnchor="text" w:x="3508" w:y="4979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2.5</w:t>
      </w:r>
    </w:p>
    <w:p w14:paraId="52761485">
      <w:pPr>
        <w:framePr w:w="5216" w:wrap="auto" w:vAnchor="margin" w:hAnchor="text" w:x="8121" w:y="4979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4.</w:t>
      </w:r>
      <w:r>
        <w:rPr>
          <w:rFonts w:ascii="宋体"/>
          <w:color w:val="000000"/>
          <w:spacing w:val="1"/>
          <w:sz w:val="15"/>
        </w:rPr>
        <w:t xml:space="preserve"> </w:t>
      </w:r>
      <w:r>
        <w:rPr>
          <w:rFonts w:ascii="宋体" w:hAnsi="宋体" w:cs="宋体"/>
          <w:color w:val="000000"/>
          <w:spacing w:val="0"/>
          <w:sz w:val="15"/>
        </w:rPr>
        <w:t>如部门（单位）当年没有项目支出（含专项工作经费）得2.5分。</w:t>
      </w:r>
    </w:p>
    <w:p w14:paraId="18E1CC15">
      <w:pPr>
        <w:framePr w:w="527" w:wrap="auto" w:vAnchor="margin" w:hAnchor="text" w:x="14093" w:y="4979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5.如</w:t>
      </w:r>
    </w:p>
    <w:p w14:paraId="784604ED">
      <w:pPr>
        <w:framePr w:w="301" w:wrap="auto" w:vAnchor="margin" w:hAnchor="text" w:x="15709" w:y="4979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2</w:t>
      </w:r>
    </w:p>
    <w:p w14:paraId="38789DD2">
      <w:pPr>
        <w:framePr w:w="7129" w:wrap="auto" w:vAnchor="margin" w:hAnchor="text" w:x="8121" w:y="5169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部门（单位）当年没有项目支出，有专项工作经费支出但不涉及申报、批复、招投标、调整、</w:t>
      </w:r>
    </w:p>
    <w:p w14:paraId="4F256A47">
      <w:pPr>
        <w:framePr w:w="527" w:wrap="auto" w:vAnchor="margin" w:hAnchor="text" w:x="1869" w:y="5301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项目</w:t>
      </w:r>
    </w:p>
    <w:p w14:paraId="3E59FF5C">
      <w:pPr>
        <w:framePr w:w="527" w:wrap="auto" w:vAnchor="margin" w:hAnchor="text" w:x="1869" w:y="5301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管理</w:t>
      </w:r>
    </w:p>
    <w:p w14:paraId="0436AF12">
      <w:pPr>
        <w:framePr w:w="1510" w:wrap="auto" w:vAnchor="margin" w:hAnchor="text" w:x="8121" w:y="5358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验收的，得2.5分。</w:t>
      </w:r>
    </w:p>
    <w:p w14:paraId="4C411EFB">
      <w:pPr>
        <w:framePr w:w="301" w:wrap="auto" w:vAnchor="margin" w:hAnchor="text" w:x="2382" w:y="5396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5</w:t>
      </w:r>
    </w:p>
    <w:p w14:paraId="01EFFBB8">
      <w:pPr>
        <w:framePr w:w="1739" w:wrap="auto" w:vAnchor="margin" w:hAnchor="text" w:x="8121" w:y="5548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6.其他情况酌情扣分。</w:t>
      </w:r>
    </w:p>
    <w:p w14:paraId="102A7E75">
      <w:pPr>
        <w:framePr w:w="679" w:wrap="auto" w:vAnchor="margin" w:hAnchor="text" w:x="789" w:y="5630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预算支</w:t>
      </w:r>
    </w:p>
    <w:p w14:paraId="4FAD8423">
      <w:pPr>
        <w:framePr w:w="679" w:wrap="auto" w:vAnchor="margin" w:hAnchor="text" w:x="789" w:y="5630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出管理</w:t>
      </w:r>
    </w:p>
    <w:p w14:paraId="33C2830D">
      <w:pPr>
        <w:framePr w:w="376" w:wrap="auto" w:vAnchor="margin" w:hAnchor="text" w:x="1486" w:y="5725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53</w:t>
      </w:r>
    </w:p>
    <w:p w14:paraId="346D511F">
      <w:pPr>
        <w:framePr w:w="7216" w:wrap="auto" w:vAnchor="margin" w:hAnchor="text" w:x="8121" w:y="5833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1.对项目建设或方案实施开展有效的检查、监控、督促整改的，得2.5分（需提供检查底稿或其</w:t>
      </w:r>
    </w:p>
    <w:p w14:paraId="371B0FBB">
      <w:pPr>
        <w:framePr w:w="7216" w:wrap="auto" w:vAnchor="margin" w:hAnchor="text" w:x="8121" w:y="5833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他材料证明，否则不得分）；</w:t>
      </w:r>
    </w:p>
    <w:p w14:paraId="114CA3D8">
      <w:pPr>
        <w:framePr w:w="4695" w:wrap="auto" w:vAnchor="margin" w:hAnchor="text" w:x="3884" w:y="5928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主要考核部门（单位）对所实施项目（包括专项工作经费和部</w:t>
      </w:r>
    </w:p>
    <w:p w14:paraId="1AD1F5DD">
      <w:pPr>
        <w:framePr w:w="6044" w:wrap="auto" w:vAnchor="margin" w:hAnchor="text" w:x="2710" w:y="6117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项目监管</w:t>
      </w:r>
      <w:r>
        <w:rPr>
          <w:rFonts w:ascii="Times New Roman"/>
          <w:color w:val="000000"/>
          <w:spacing w:val="156"/>
          <w:sz w:val="15"/>
        </w:rPr>
        <w:t xml:space="preserve"> </w:t>
      </w:r>
      <w:r>
        <w:rPr>
          <w:rFonts w:ascii="宋体"/>
          <w:color w:val="000000"/>
          <w:spacing w:val="0"/>
          <w:sz w:val="15"/>
        </w:rPr>
        <w:t>2.5</w:t>
      </w:r>
      <w:r>
        <w:rPr>
          <w:rFonts w:ascii="宋体"/>
          <w:color w:val="000000"/>
          <w:spacing w:val="73"/>
          <w:sz w:val="15"/>
        </w:rPr>
        <w:t xml:space="preserve"> </w:t>
      </w:r>
      <w:r>
        <w:rPr>
          <w:rFonts w:ascii="宋体" w:hAnsi="宋体" w:cs="宋体"/>
          <w:color w:val="000000"/>
          <w:spacing w:val="0"/>
          <w:sz w:val="15"/>
        </w:rPr>
        <w:t>门主管的省级专项资金分配给市、县实施的项目）的检查、监</w:t>
      </w:r>
    </w:p>
    <w:p w14:paraId="20456F33">
      <w:pPr>
        <w:framePr w:w="301" w:wrap="auto" w:vAnchor="margin" w:hAnchor="text" w:x="15709" w:y="6117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2</w:t>
      </w:r>
    </w:p>
    <w:p w14:paraId="423E977F">
      <w:pPr>
        <w:framePr w:w="301" w:wrap="auto" w:vAnchor="margin" w:hAnchor="text" w:x="15709" w:y="6117"/>
        <w:widowControl w:val="0"/>
        <w:autoSpaceDE w:val="0"/>
        <w:autoSpaceDN w:val="0"/>
        <w:spacing w:before="671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2</w:t>
      </w:r>
    </w:p>
    <w:p w14:paraId="71B3216D">
      <w:pPr>
        <w:framePr w:w="301" w:wrap="auto" w:vAnchor="margin" w:hAnchor="text" w:x="15709" w:y="6117"/>
        <w:widowControl w:val="0"/>
        <w:autoSpaceDE w:val="0"/>
        <w:autoSpaceDN w:val="0"/>
        <w:spacing w:before="665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2</w:t>
      </w:r>
    </w:p>
    <w:p w14:paraId="08F7856A">
      <w:pPr>
        <w:framePr w:w="5738" w:wrap="auto" w:vAnchor="margin" w:hAnchor="text" w:x="8121" w:y="6212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2.未对项目建设或方案实施开展有效的检查、监控、督促整改的，不得分；</w:t>
      </w:r>
    </w:p>
    <w:p w14:paraId="72E348AF">
      <w:pPr>
        <w:framePr w:w="5738" w:wrap="auto" w:vAnchor="margin" w:hAnchor="text" w:x="8121" w:y="6212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3.其他情况酌情扣分。</w:t>
      </w:r>
    </w:p>
    <w:p w14:paraId="27147775">
      <w:pPr>
        <w:framePr w:w="4695" w:wrap="auto" w:vAnchor="margin" w:hAnchor="text" w:x="3884" w:y="6307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控、督促等管理等情况，需提供相关佐证材料作为评分依据。</w:t>
      </w:r>
    </w:p>
    <w:p w14:paraId="3AD42A3A">
      <w:pPr>
        <w:framePr w:w="4260" w:wrap="auto" w:vAnchor="margin" w:hAnchor="text" w:x="8121" w:y="6655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1.资产是否登记造册、保存完整的，得0.5分；</w:t>
      </w:r>
    </w:p>
    <w:p w14:paraId="57CE8129">
      <w:pPr>
        <w:framePr w:w="4260" w:wrap="auto" w:vAnchor="margin" w:hAnchor="text" w:x="8121" w:y="6655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2.资产配置合理、使用合规、处置规范的，得1分；</w:t>
      </w:r>
    </w:p>
    <w:p w14:paraId="6C1CBD6D">
      <w:pPr>
        <w:framePr w:w="4260" w:wrap="auto" w:vAnchor="margin" w:hAnchor="text" w:x="8121" w:y="6655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3.资产是否有偿使用及处置收入及时足额上缴，得1分；</w:t>
      </w:r>
    </w:p>
    <w:p w14:paraId="24A29F1F">
      <w:pPr>
        <w:framePr w:w="4260" w:wrap="auto" w:vAnchor="margin" w:hAnchor="text" w:x="8121" w:y="6655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4.其他情况酌情扣分。</w:t>
      </w:r>
    </w:p>
    <w:p w14:paraId="1A7A26EA">
      <w:pPr>
        <w:framePr w:w="4695" w:wrap="auto" w:vAnchor="margin" w:hAnchor="text" w:x="3884" w:y="6750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主要考核部门（单位）的资产是否登记造册、保存完整、使用</w:t>
      </w:r>
    </w:p>
    <w:p w14:paraId="0A6CEEA1">
      <w:pPr>
        <w:framePr w:w="830" w:wrap="auto" w:vAnchor="margin" w:hAnchor="text" w:x="2710" w:y="6845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资产管理</w:t>
      </w:r>
    </w:p>
    <w:p w14:paraId="36EF0D17">
      <w:pPr>
        <w:framePr w:w="5126" w:wrap="auto" w:vAnchor="margin" w:hAnchor="text" w:x="3508" w:y="6940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2.5</w:t>
      </w:r>
      <w:r>
        <w:rPr>
          <w:rFonts w:ascii="宋体"/>
          <w:color w:val="000000"/>
          <w:spacing w:val="73"/>
          <w:sz w:val="15"/>
        </w:rPr>
        <w:t xml:space="preserve"> </w:t>
      </w:r>
      <w:r>
        <w:rPr>
          <w:rFonts w:ascii="宋体" w:hAnsi="宋体" w:cs="宋体"/>
          <w:color w:val="000000"/>
          <w:spacing w:val="0"/>
          <w:sz w:val="15"/>
        </w:rPr>
        <w:t>合规、配置合理、处置规范、收入及时足额上缴，用于反映和</w:t>
      </w:r>
    </w:p>
    <w:p w14:paraId="07B871A1">
      <w:pPr>
        <w:framePr w:w="679" w:wrap="auto" w:vAnchor="margin" w:hAnchor="text" w:x="2785" w:y="7035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安全性</w:t>
      </w:r>
    </w:p>
    <w:p w14:paraId="2F2A2118">
      <w:pPr>
        <w:framePr w:w="3130" w:wrap="auto" w:vAnchor="margin" w:hAnchor="text" w:x="3884" w:y="7130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考核部门（单位）资产管理和使用情况。</w:t>
      </w:r>
    </w:p>
    <w:p w14:paraId="140833E2">
      <w:pPr>
        <w:framePr w:w="527" w:wrap="auto" w:vAnchor="margin" w:hAnchor="text" w:x="1869" w:y="7256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资产</w:t>
      </w:r>
    </w:p>
    <w:p w14:paraId="5288345E">
      <w:pPr>
        <w:framePr w:w="527" w:wrap="auto" w:vAnchor="margin" w:hAnchor="text" w:x="1869" w:y="7256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管理</w:t>
      </w:r>
    </w:p>
    <w:p w14:paraId="1F5EA008">
      <w:pPr>
        <w:framePr w:w="301" w:wrap="auto" w:vAnchor="margin" w:hAnchor="text" w:x="2382" w:y="7351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5</w:t>
      </w:r>
    </w:p>
    <w:p w14:paraId="6EDF92A1">
      <w:pPr>
        <w:framePr w:w="2434" w:wrap="auto" w:vAnchor="margin" w:hAnchor="text" w:x="8121" w:y="7471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1.比率≥90%的，得2.5分；</w:t>
      </w:r>
    </w:p>
    <w:p w14:paraId="18100FA5">
      <w:pPr>
        <w:framePr w:w="2434" w:wrap="auto" w:vAnchor="margin" w:hAnchor="text" w:x="8121" w:y="7471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2.90%&gt;比率≥75%的，得1.5分；</w:t>
      </w:r>
    </w:p>
    <w:p w14:paraId="7736F18C">
      <w:pPr>
        <w:framePr w:w="2434" w:wrap="auto" w:vAnchor="margin" w:hAnchor="text" w:x="8121" w:y="7471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3.75%&gt;比率≥60%的，得1分；</w:t>
      </w:r>
    </w:p>
    <w:p w14:paraId="60EAD339">
      <w:pPr>
        <w:framePr w:w="2434" w:wrap="auto" w:vAnchor="margin" w:hAnchor="text" w:x="8121" w:y="7471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4.比率&lt;60%的，得0分。</w:t>
      </w:r>
    </w:p>
    <w:p w14:paraId="79A4CC1A">
      <w:pPr>
        <w:framePr w:w="4695" w:wrap="auto" w:vAnchor="margin" w:hAnchor="text" w:x="3884" w:y="7566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主要考核部门（单位）实际在用固定资产总额与所有固定资产</w:t>
      </w:r>
    </w:p>
    <w:p w14:paraId="54B1365F">
      <w:pPr>
        <w:framePr w:w="830" w:wrap="auto" w:vAnchor="margin" w:hAnchor="text" w:x="2710" w:y="7661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固定资产</w:t>
      </w:r>
    </w:p>
    <w:p w14:paraId="6A1129C2">
      <w:pPr>
        <w:framePr w:w="5126" w:wrap="auto" w:vAnchor="margin" w:hAnchor="text" w:x="3508" w:y="7756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2.5</w:t>
      </w:r>
      <w:r>
        <w:rPr>
          <w:rFonts w:ascii="宋体"/>
          <w:color w:val="000000"/>
          <w:spacing w:val="73"/>
          <w:sz w:val="15"/>
        </w:rPr>
        <w:t xml:space="preserve"> </w:t>
      </w:r>
      <w:r>
        <w:rPr>
          <w:rFonts w:ascii="宋体" w:hAnsi="宋体" w:cs="宋体"/>
          <w:color w:val="000000"/>
          <w:spacing w:val="0"/>
          <w:sz w:val="15"/>
        </w:rPr>
        <w:t>总额的比例，用以反映和考核部门（单位）固定资产使用效率</w:t>
      </w:r>
    </w:p>
    <w:p w14:paraId="181EFD88">
      <w:pPr>
        <w:framePr w:w="679" w:wrap="auto" w:vAnchor="margin" w:hAnchor="text" w:x="2785" w:y="7851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利用率</w:t>
      </w:r>
    </w:p>
    <w:p w14:paraId="2EB29D1B">
      <w:pPr>
        <w:framePr w:w="679" w:wrap="auto" w:vAnchor="margin" w:hAnchor="text" w:x="3884" w:y="7946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程度。</w:t>
      </w:r>
    </w:p>
    <w:p w14:paraId="6E3580AF">
      <w:pPr>
        <w:framePr w:w="4782" w:wrap="auto" w:vAnchor="margin" w:hAnchor="text" w:x="3884" w:y="8268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主要考核单位在职人员控制情况。在职人员控制率=（在职人员</w:t>
      </w:r>
    </w:p>
    <w:p w14:paraId="652EC5CA">
      <w:pPr>
        <w:framePr w:w="527" w:wrap="auto" w:vAnchor="margin" w:hAnchor="text" w:x="1869" w:y="8363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人员</w:t>
      </w:r>
    </w:p>
    <w:p w14:paraId="4AA24423">
      <w:pPr>
        <w:framePr w:w="527" w:wrap="auto" w:vAnchor="margin" w:hAnchor="text" w:x="1869" w:y="8363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管理</w:t>
      </w:r>
    </w:p>
    <w:p w14:paraId="47781C77">
      <w:pPr>
        <w:framePr w:w="830" w:wrap="auto" w:vAnchor="margin" w:hAnchor="text" w:x="2710" w:y="8363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在职人员</w:t>
      </w:r>
    </w:p>
    <w:p w14:paraId="0E53EACB">
      <w:pPr>
        <w:framePr w:w="301" w:wrap="auto" w:vAnchor="margin" w:hAnchor="text" w:x="2382" w:y="8458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5</w:t>
      </w:r>
    </w:p>
    <w:p w14:paraId="66F29CEE">
      <w:pPr>
        <w:framePr w:w="301" w:wrap="auto" w:vAnchor="margin" w:hAnchor="text" w:x="2382" w:y="8458"/>
        <w:widowControl w:val="0"/>
        <w:autoSpaceDE w:val="0"/>
        <w:autoSpaceDN w:val="0"/>
        <w:spacing w:before="45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7</w:t>
      </w:r>
    </w:p>
    <w:p w14:paraId="171F6FB6">
      <w:pPr>
        <w:framePr w:w="301" w:wrap="auto" w:vAnchor="margin" w:hAnchor="text" w:x="3584" w:y="8458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5</w:t>
      </w:r>
    </w:p>
    <w:p w14:paraId="0F40822C">
      <w:pPr>
        <w:framePr w:w="301" w:wrap="auto" w:vAnchor="margin" w:hAnchor="text" w:x="3584" w:y="8458"/>
        <w:widowControl w:val="0"/>
        <w:autoSpaceDE w:val="0"/>
        <w:autoSpaceDN w:val="0"/>
        <w:spacing w:before="45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7</w:t>
      </w:r>
    </w:p>
    <w:p w14:paraId="4AFEA3B6">
      <w:pPr>
        <w:framePr w:w="11654" w:wrap="auto" w:vAnchor="margin" w:hAnchor="text" w:x="3884" w:y="8458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数/编制数）×100%。在职人员数：部门（单位）实际在职人数</w:t>
      </w:r>
      <w:r>
        <w:rPr>
          <w:rFonts w:ascii="宋体"/>
          <w:color w:val="000000"/>
          <w:spacing w:val="4"/>
          <w:sz w:val="15"/>
        </w:rPr>
        <w:t xml:space="preserve"> </w:t>
      </w:r>
      <w:r>
        <w:rPr>
          <w:rFonts w:ascii="宋体" w:hAnsi="宋体" w:cs="宋体"/>
          <w:color w:val="000000"/>
          <w:spacing w:val="0"/>
          <w:sz w:val="15"/>
        </w:rPr>
        <w:t>以100%为标准。在职人员控制率≦100%，计5分；每超过一个百分点扣0.5分，扣完为止。</w:t>
      </w:r>
    </w:p>
    <w:p w14:paraId="07C5D9F6">
      <w:pPr>
        <w:framePr w:w="11654" w:wrap="auto" w:vAnchor="margin" w:hAnchor="text" w:x="3884" w:y="8458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，以财政部门确定的部门决算编制口径为准。</w:t>
      </w:r>
    </w:p>
    <w:p w14:paraId="65CAF5D7">
      <w:pPr>
        <w:framePr w:w="301" w:wrap="auto" w:vAnchor="margin" w:hAnchor="text" w:x="15709" w:y="8458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5</w:t>
      </w:r>
    </w:p>
    <w:p w14:paraId="113BAD4E">
      <w:pPr>
        <w:framePr w:w="301" w:wrap="auto" w:vAnchor="margin" w:hAnchor="text" w:x="15709" w:y="8458"/>
        <w:widowControl w:val="0"/>
        <w:autoSpaceDE w:val="0"/>
        <w:autoSpaceDN w:val="0"/>
        <w:spacing w:before="45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7</w:t>
      </w:r>
    </w:p>
    <w:p w14:paraId="3CB75944">
      <w:pPr>
        <w:framePr w:w="679" w:wrap="auto" w:vAnchor="margin" w:hAnchor="text" w:x="2785" w:y="8553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控制率</w:t>
      </w:r>
    </w:p>
    <w:p w14:paraId="1C762136">
      <w:pPr>
        <w:framePr w:w="905" w:wrap="auto" w:vAnchor="margin" w:hAnchor="text" w:x="2672" w:y="8869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项目(工作</w:t>
      </w:r>
    </w:p>
    <w:p w14:paraId="3E905B14">
      <w:pPr>
        <w:framePr w:w="905" w:wrap="auto" w:vAnchor="margin" w:hAnchor="text" w:x="2672" w:y="8869"/>
        <w:widowControl w:val="0"/>
        <w:autoSpaceDE w:val="0"/>
        <w:autoSpaceDN w:val="0"/>
        <w:spacing w:before="39" w:after="0" w:line="151" w:lineRule="exact"/>
        <w:ind w:left="38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）完成及</w:t>
      </w:r>
    </w:p>
    <w:p w14:paraId="2259628C">
      <w:pPr>
        <w:framePr w:w="905" w:wrap="auto" w:vAnchor="margin" w:hAnchor="text" w:x="2672" w:y="8869"/>
        <w:widowControl w:val="0"/>
        <w:autoSpaceDE w:val="0"/>
        <w:autoSpaceDN w:val="0"/>
        <w:spacing w:before="39" w:after="0" w:line="151" w:lineRule="exact"/>
        <w:ind w:left="189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时性</w:t>
      </w:r>
    </w:p>
    <w:p w14:paraId="018A47C0">
      <w:pPr>
        <w:framePr w:w="527" w:wrap="auto" w:vAnchor="margin" w:hAnchor="text" w:x="1864" w:y="896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效率</w:t>
      </w:r>
    </w:p>
    <w:p w14:paraId="494284E7">
      <w:pPr>
        <w:framePr w:w="527" w:wrap="auto" w:vAnchor="margin" w:hAnchor="text" w:x="1864" w:y="8964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性</w:t>
      </w:r>
    </w:p>
    <w:p w14:paraId="10F87432">
      <w:pPr>
        <w:framePr w:w="12002" w:wrap="auto" w:vAnchor="margin" w:hAnchor="text" w:x="3884" w:y="8964"/>
        <w:widowControl w:val="0"/>
        <w:autoSpaceDE w:val="0"/>
        <w:autoSpaceDN w:val="0"/>
        <w:spacing w:before="0" w:after="0" w:line="151" w:lineRule="exact"/>
        <w:ind w:left="4237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目标完成率由单位自行评价，但需要提出相关的佐证材料。得分=实际完成项目（工作）/计划</w:t>
      </w:r>
    </w:p>
    <w:p w14:paraId="3805A8F4">
      <w:pPr>
        <w:framePr w:w="12002" w:wrap="auto" w:vAnchor="margin" w:hAnchor="text" w:x="3884" w:y="896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主要考核部门（单位）项目（工作）完成及时性和质量情况。</w:t>
      </w:r>
    </w:p>
    <w:p w14:paraId="145C96AD">
      <w:pPr>
        <w:framePr w:w="3478" w:wrap="auto" w:vAnchor="margin" w:hAnchor="text" w:x="8121" w:y="915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完成项目（工作）×7（最高不得超过7分）。</w:t>
      </w:r>
    </w:p>
    <w:p w14:paraId="1C18CCFD">
      <w:pPr>
        <w:framePr w:w="679" w:wrap="auto" w:vAnchor="margin" w:hAnchor="text" w:x="789" w:y="9242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部门产</w:t>
      </w:r>
    </w:p>
    <w:p w14:paraId="4926690A">
      <w:pPr>
        <w:framePr w:w="679" w:wrap="auto" w:vAnchor="margin" w:hAnchor="text" w:x="789" w:y="9242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出绩效</w:t>
      </w:r>
    </w:p>
    <w:p w14:paraId="7056E826">
      <w:pPr>
        <w:framePr w:w="376" w:wrap="auto" w:vAnchor="margin" w:hAnchor="text" w:x="1486" w:y="9337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12</w:t>
      </w:r>
    </w:p>
    <w:p w14:paraId="4FEEB568">
      <w:pPr>
        <w:framePr w:w="12002" w:wrap="auto" w:vAnchor="margin" w:hAnchor="text" w:x="3884" w:y="9459"/>
        <w:widowControl w:val="0"/>
        <w:autoSpaceDE w:val="0"/>
        <w:autoSpaceDN w:val="0"/>
        <w:spacing w:before="0" w:after="0" w:line="150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主要考核项目（工作）实施直接产生的社会、经济、政治效益</w:t>
      </w:r>
    </w:p>
    <w:p w14:paraId="3743E5AF">
      <w:pPr>
        <w:framePr w:w="12002" w:wrap="auto" w:vAnchor="margin" w:hAnchor="text" w:x="3884" w:y="9459"/>
        <w:widowControl w:val="0"/>
        <w:autoSpaceDE w:val="0"/>
        <w:autoSpaceDN w:val="0"/>
        <w:spacing w:before="0" w:after="0" w:line="151" w:lineRule="exact"/>
        <w:ind w:left="4237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根据项目（工作）实际并结合绩效目标设立情况，有选择地设置个性化绩效指标，且通过绩效</w:t>
      </w:r>
    </w:p>
    <w:p w14:paraId="4CDDEB43">
      <w:pPr>
        <w:framePr w:w="12002" w:wrap="auto" w:vAnchor="margin" w:hAnchor="text" w:x="3884" w:y="9459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，主要通过项目资金使用效果（工作）的个性指标完成情况反</w:t>
      </w:r>
    </w:p>
    <w:p w14:paraId="2219ADC6">
      <w:pPr>
        <w:framePr w:w="12002" w:wrap="auto" w:vAnchor="margin" w:hAnchor="text" w:x="3884" w:y="9459"/>
        <w:widowControl w:val="0"/>
        <w:autoSpaceDE w:val="0"/>
        <w:autoSpaceDN w:val="0"/>
        <w:spacing w:before="0" w:after="0" w:line="151" w:lineRule="exact"/>
        <w:ind w:left="4237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指标完成情况与目标值对比分析，进行核定得分。</w:t>
      </w:r>
    </w:p>
    <w:p w14:paraId="4119093B">
      <w:pPr>
        <w:framePr w:w="12002" w:wrap="auto" w:vAnchor="margin" w:hAnchor="text" w:x="3884" w:y="9459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映。</w:t>
      </w:r>
    </w:p>
    <w:p w14:paraId="2F811B88">
      <w:pPr>
        <w:framePr w:w="527" w:wrap="auto" w:vAnchor="margin" w:hAnchor="text" w:x="1864" w:y="9552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效果</w:t>
      </w:r>
    </w:p>
    <w:p w14:paraId="567E8173">
      <w:pPr>
        <w:framePr w:w="527" w:wrap="auto" w:vAnchor="margin" w:hAnchor="text" w:x="1864" w:y="9552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性</w:t>
      </w:r>
    </w:p>
    <w:p w14:paraId="19C80123">
      <w:pPr>
        <w:framePr w:w="830" w:wrap="auto" w:vAnchor="margin" w:hAnchor="text" w:x="2710" w:y="9552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社会经济</w:t>
      </w:r>
    </w:p>
    <w:p w14:paraId="7175E77E">
      <w:pPr>
        <w:framePr w:w="830" w:wrap="auto" w:vAnchor="margin" w:hAnchor="text" w:x="2710" w:y="9552"/>
        <w:widowControl w:val="0"/>
        <w:autoSpaceDE w:val="0"/>
        <w:autoSpaceDN w:val="0"/>
        <w:spacing w:before="39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政治效益</w:t>
      </w:r>
    </w:p>
    <w:p w14:paraId="15D72733">
      <w:pPr>
        <w:framePr w:w="301" w:wrap="auto" w:vAnchor="margin" w:hAnchor="text" w:x="2382" w:y="9647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5</w:t>
      </w:r>
    </w:p>
    <w:p w14:paraId="4E6BC42A">
      <w:pPr>
        <w:framePr w:w="301" w:wrap="auto" w:vAnchor="margin" w:hAnchor="text" w:x="3584" w:y="9647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5</w:t>
      </w:r>
    </w:p>
    <w:p w14:paraId="1A860696">
      <w:pPr>
        <w:framePr w:w="301" w:wrap="auto" w:vAnchor="margin" w:hAnchor="text" w:x="15709" w:y="9647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5</w:t>
      </w:r>
    </w:p>
    <w:p w14:paraId="53EBFC1C">
      <w:pPr>
        <w:framePr w:w="527" w:wrap="auto" w:vAnchor="margin" w:hAnchor="text" w:x="772" w:y="10122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 w:hAnsi="宋体" w:cs="宋体"/>
          <w:color w:val="000000"/>
          <w:spacing w:val="0"/>
          <w:sz w:val="15"/>
        </w:rPr>
        <w:t>合计</w:t>
      </w:r>
    </w:p>
    <w:p w14:paraId="02F851D5">
      <w:pPr>
        <w:framePr w:w="452" w:wrap="auto" w:vAnchor="margin" w:hAnchor="text" w:x="1448" w:y="10122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100</w:t>
      </w:r>
    </w:p>
    <w:p w14:paraId="1C6A42DB">
      <w:pPr>
        <w:framePr w:w="452" w:wrap="auto" w:vAnchor="margin" w:hAnchor="text" w:x="2307" w:y="10122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100</w:t>
      </w:r>
    </w:p>
    <w:p w14:paraId="6D4F599B">
      <w:pPr>
        <w:framePr w:w="452" w:wrap="auto" w:vAnchor="margin" w:hAnchor="text" w:x="3508" w:y="10122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100</w:t>
      </w:r>
    </w:p>
    <w:p w14:paraId="554EA03E">
      <w:pPr>
        <w:framePr w:w="376" w:wrap="auto" w:vAnchor="margin" w:hAnchor="text" w:x="15671" w:y="10122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宋体"/>
          <w:color w:val="000000"/>
          <w:spacing w:val="0"/>
          <w:sz w:val="15"/>
        </w:rPr>
      </w:pPr>
      <w:r>
        <w:rPr>
          <w:rFonts w:ascii="宋体"/>
          <w:color w:val="000000"/>
          <w:spacing w:val="0"/>
          <w:sz w:val="15"/>
        </w:rPr>
        <w:t>91</w:t>
      </w:r>
    </w:p>
    <w:p w14:paraId="5D68D232">
      <w:pPr>
        <w:framePr w:w="10201" w:wrap="auto" w:vAnchor="margin" w:hAnchor="text" w:x="772" w:y="10550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注：上述指标的数据来源优先从部门单位的部门决算报表、会计账册（表）或县财政部门掌握的数据中获取。</w:t>
      </w:r>
    </w:p>
    <w:p w14:paraId="4D3E92C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" o:spid="_x0000_s1028" o:spt="75" type="#_x0000_t75" style="position:absolute;left:0pt;margin-left:36.85pt;margin-top:77.85pt;height:442.7pt;width:765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</w:p>
    <w:sectPr>
      <w:pgSz w:w="16820" w:h="11900" w:orient="landscape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9EC262B1-0484-4C92-8342-D32B13091664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0D230093-D676-4177-984B-1BF276431B9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24D19CB-A89D-487C-8C26-2F32C25DEAA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13C21549-B19D-44FC-8B1C-33A21616398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C4160F14-3069-4522-9BC0-A569DD11058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23096FAB-1B69-45F4-A0C5-8604D58966D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2BDF510B-CB86-407D-940E-A3E54A8FBFA4}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  <w:embedRegular r:id="rId8" w:fontKey="{2A4185DE-6315-4ADB-B2AC-B17E1B8BA8F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15DC3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3</Pages>
  <Words>4606</Words>
  <Characters>4816</Characters>
  <Lines>356</Lines>
  <Paragraphs>356</Paragraphs>
  <TotalTime>4</TotalTime>
  <ScaleCrop>false</ScaleCrop>
  <LinksUpToDate>false</LinksUpToDate>
  <CharactersWithSpaces>4855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2024-08-02T03:15:00Z</dcterms:created>
  <dc:creator>s10.aconvert.com</dc:creator>
  <cp:lastModifiedBy>momo</cp:lastModifiedBy>
  <dcterms:modified xsi:type="dcterms:W3CDTF">2025-04-22T03:35:05Z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eyJoZGlkIjoiMDQ4NDdhNjhhNGU3YWE5MzY0ZWVjYjIwZjgyODdkMTciLCJ1c2VySWQiOiI5MzUxNTIxMjcifQ==</vt:lpwstr>
  </property>
  <property fmtid="{D5CDD505-2E9C-101B-9397-08002B2CF9AE}" pid="3" name="KSOProductBuildVer">
    <vt:lpwstr>2052-12.1.0.20784</vt:lpwstr>
  </property>
  <property fmtid="{D5CDD505-2E9C-101B-9397-08002B2CF9AE}" pid="4" name="ICV">
    <vt:lpwstr>A2E1AE36A3B04583A5DA610AB07026AE_12</vt:lpwstr>
  </property>
</Properties>
</file>