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360"/>
        <w:jc w:val="center"/>
        <w:rPr>
          <w:rFonts w:ascii="Times New Roman" w:cs="Times New Roman" w:eastAsia="仿宋_GB2312" w:hAnsi="Times New Roman" w:hint="default"/>
          <w:b/>
          <w:bCs/>
          <w:color w:val="auto"/>
          <w:sz w:val="52"/>
          <w:szCs w:val="52"/>
          <w:highlight w:val="none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52"/>
          <w:szCs w:val="52"/>
          <w:highlight w:val="none"/>
        </w:rPr>
        <w:t>2021年度</w:t>
      </w:r>
      <w:r>
        <w:rPr>
          <w:rFonts w:ascii="Times New Roman" w:cs="Times New Roman" w:eastAsia="仿宋_GB2312" w:hAnsi="Times New Roman" w:hint="eastAsia"/>
          <w:b/>
          <w:bCs/>
          <w:color w:val="auto"/>
          <w:sz w:val="52"/>
          <w:szCs w:val="52"/>
          <w:highlight w:val="none"/>
          <w:lang w:eastAsia="zh-CN"/>
        </w:rPr>
        <w:t>徐闻县高标准农田建设项目</w:t>
      </w:r>
      <w:r>
        <w:rPr>
          <w:rFonts w:ascii="Times New Roman" w:cs="Times New Roman" w:eastAsia="仿宋_GB2312" w:hAnsi="Times New Roman" w:hint="eastAsia"/>
          <w:b/>
          <w:bCs/>
          <w:color w:val="auto"/>
          <w:sz w:val="52"/>
          <w:szCs w:val="52"/>
          <w:highlight w:val="none"/>
          <w:lang w:val="en-US" w:eastAsia="zh-CN"/>
        </w:rPr>
        <w:t>专项</w:t>
      </w:r>
      <w:r>
        <w:rPr>
          <w:rFonts w:ascii="Times New Roman" w:cs="Times New Roman" w:eastAsia="仿宋_GB2312" w:hAnsi="Times New Roman" w:hint="default"/>
          <w:b/>
          <w:bCs/>
          <w:color w:val="auto"/>
          <w:sz w:val="52"/>
          <w:szCs w:val="52"/>
          <w:highlight w:val="none"/>
        </w:rPr>
        <w:t>资金绩效自评报告</w:t>
      </w:r>
    </w:p>
    <w:p>
      <w:pPr>
        <w:pStyle w:val="style20"/>
        <w:rPr>
          <w:rFonts w:ascii="Times New Roman" w:cs="Times New Roman" w:hAnsi="Times New Roman" w:hint="default"/>
          <w:color w:val="auto"/>
          <w:highlight w:val="none"/>
        </w:rPr>
      </w:pPr>
    </w:p>
    <w:p>
      <w:pPr>
        <w:pStyle w:val="style0"/>
        <w:spacing w:lineRule="auto" w:line="360"/>
        <w:ind w:firstLine="444" w:firstLineChars="150"/>
        <w:rPr>
          <w:rFonts w:ascii="Times New Roman" w:cs="Times New Roman" w:eastAsia="仿宋_GB2312" w:hAnsi="Times New Roman" w:hint="default"/>
          <w:color w:val="auto"/>
          <w:sz w:val="30"/>
          <w:szCs w:val="30"/>
          <w:highlight w:val="none"/>
        </w:rPr>
      </w:pPr>
    </w:p>
    <w:p>
      <w:pPr>
        <w:pStyle w:val="style0"/>
        <w:spacing w:lineRule="auto" w:line="360"/>
        <w:ind w:firstLine="444" w:firstLineChars="150"/>
        <w:rPr>
          <w:rFonts w:ascii="Times New Roman" w:cs="Times New Roman" w:eastAsia="仿宋_GB2312" w:hAnsi="Times New Roman" w:hint="default"/>
          <w:color w:val="auto"/>
          <w:sz w:val="30"/>
          <w:szCs w:val="30"/>
          <w:highlight w:val="none"/>
        </w:rPr>
      </w:pPr>
    </w:p>
    <w:p>
      <w:pPr>
        <w:pStyle w:val="style0"/>
        <w:spacing w:lineRule="auto" w:line="360"/>
        <w:ind w:firstLine="444" w:firstLineChars="150"/>
        <w:rPr>
          <w:rFonts w:ascii="Times New Roman" w:cs="Times New Roman" w:eastAsia="仿宋_GB2312" w:hAnsi="Times New Roman" w:hint="default"/>
          <w:color w:val="auto"/>
          <w:sz w:val="30"/>
          <w:szCs w:val="30"/>
          <w:highlight w:val="none"/>
        </w:rPr>
      </w:pPr>
    </w:p>
    <w:p>
      <w:pPr>
        <w:pStyle w:val="style20"/>
        <w:rPr>
          <w:rFonts w:ascii="Times New Roman" w:cs="Times New Roman" w:hAnsi="Times New Roman" w:hint="default"/>
          <w:color w:val="auto"/>
          <w:highlight w:val="none"/>
        </w:rPr>
      </w:pPr>
    </w:p>
    <w:p>
      <w:pPr>
        <w:pStyle w:val="style0"/>
        <w:spacing w:lineRule="auto" w:line="360"/>
        <w:ind w:firstLine="444" w:firstLineChars="150"/>
        <w:rPr>
          <w:rFonts w:ascii="Times New Roman" w:cs="Times New Roman" w:eastAsia="仿宋_GB2312" w:hAnsi="Times New Roman" w:hint="default"/>
          <w:color w:val="auto"/>
          <w:sz w:val="30"/>
          <w:szCs w:val="30"/>
          <w:highlight w:val="none"/>
        </w:rPr>
      </w:pPr>
    </w:p>
    <w:p>
      <w:pPr>
        <w:pStyle w:val="style20"/>
        <w:rPr>
          <w:rFonts w:ascii="Times New Roman" w:cs="Times New Roman" w:hAnsi="Times New Roman" w:hint="default"/>
          <w:color w:val="auto"/>
          <w:highlight w:val="none"/>
        </w:rPr>
      </w:pP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32" w:firstLineChars="200"/>
        <w:textAlignment w:val="auto"/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</w:rPr>
        <w:t xml:space="preserve">专项名称： </w:t>
      </w:r>
      <w:r>
        <w:rPr>
          <w:rFonts w:ascii="Times New Roman" w:cs="Times New Roman" w:eastAsia="仿宋_GB2312" w:hAnsi="Times New Roman" w:hint="eastAsia"/>
          <w:b/>
          <w:bCs/>
          <w:color w:val="auto"/>
          <w:sz w:val="32"/>
          <w:szCs w:val="32"/>
          <w:highlight w:val="none"/>
          <w:lang w:val="en-US" w:eastAsia="zh-CN"/>
        </w:rPr>
        <w:t>2021年度湛江市徐闻县高标准农田建设项目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32" w:firstLineChars="200"/>
        <w:textAlignment w:val="auto"/>
        <w:rPr>
          <w:rFonts w:ascii="Times New Roman" w:cs="Times New Roman" w:eastAsia="仿宋_GB2312" w:hAnsi="Times New Roman" w:hint="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  <w:lang w:val="en-US" w:eastAsia="zh-CN"/>
        </w:rPr>
        <w:t>填报单位</w:t>
      </w: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</w:rPr>
        <w:t>：</w:t>
      </w:r>
      <w:r>
        <w:rPr>
          <w:rFonts w:ascii="Times New Roman" w:cs="Times New Roman" w:eastAsia="仿宋_GB2312" w:hAnsi="Times New Roman" w:hint="eastAsia"/>
          <w:b/>
          <w:bCs/>
          <w:color w:val="auto"/>
          <w:sz w:val="32"/>
          <w:szCs w:val="32"/>
          <w:highlight w:val="none"/>
          <w:lang w:eastAsia="zh-CN"/>
        </w:rPr>
        <w:t>徐闻县农业农村局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32" w:firstLineChars="200"/>
        <w:textAlignment w:val="auto"/>
        <w:rPr>
          <w:rFonts w:ascii="Times New Roman" w:cs="Times New Roman" w:eastAsia="仿宋_GB2312" w:hAnsi="Times New Roman" w:hint="eastAsia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</w:rPr>
        <w:t>填报人姓名：</w:t>
      </w:r>
      <w:r>
        <w:rPr>
          <w:rFonts w:cs="Times New Roman" w:eastAsia="仿宋_GB2312" w:hint="eastAsia"/>
          <w:b/>
          <w:bCs/>
          <w:color w:val="auto"/>
          <w:sz w:val="32"/>
          <w:szCs w:val="32"/>
          <w:highlight w:val="none"/>
          <w:lang w:eastAsia="zh-CN"/>
        </w:rPr>
        <w:t>何</w:t>
      </w:r>
      <w:r>
        <w:rPr>
          <w:rFonts w:cs="Times New Roman" w:eastAsia="仿宋_GB2312" w:hint="eastAsia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cs="Times New Roman" w:eastAsia="仿宋_GB2312" w:hint="eastAsia"/>
          <w:b/>
          <w:bCs/>
          <w:color w:val="auto"/>
          <w:sz w:val="32"/>
          <w:szCs w:val="32"/>
          <w:highlight w:val="none"/>
          <w:lang w:eastAsia="zh-CN"/>
        </w:rPr>
        <w:t>转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32" w:firstLineChars="200"/>
        <w:textAlignment w:val="auto"/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</w:rPr>
        <w:t>联系电话：</w:t>
      </w:r>
      <w:r>
        <w:rPr>
          <w:rFonts w:cs="Times New Roman" w:eastAsia="仿宋_GB2312" w:hint="eastAsia"/>
          <w:b/>
          <w:bCs/>
          <w:color w:val="auto"/>
          <w:sz w:val="32"/>
          <w:szCs w:val="32"/>
          <w:highlight w:val="none"/>
          <w:lang w:val="en-US" w:eastAsia="zh-CN"/>
        </w:rPr>
        <w:t>13827148132</w:t>
      </w:r>
    </w:p>
    <w:p>
      <w:pPr>
        <w:pStyle w:val="style0"/>
        <w:keepNext w:val="false"/>
        <w:keepLines w:val="false"/>
        <w:pageBreakBefore w:val="false"/>
        <w:widowControl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240"/>
        <w:ind w:firstLine="632" w:firstLineChars="200"/>
        <w:textAlignment w:val="auto"/>
        <w:rPr>
          <w:rFonts w:ascii="Times New Roman" w:cs="Times New Roman" w:eastAsia="仿宋_GB2312" w:hAnsi="Times New Roman" w:hint="default"/>
          <w:color w:val="auto"/>
          <w:sz w:val="32"/>
          <w:szCs w:val="32"/>
          <w:highlight w:val="none"/>
          <w:lang w:val="en-US" w:eastAsia="zh-CN"/>
        </w:rPr>
      </w:pPr>
      <w:r>
        <w:rPr>
          <w:rFonts w:ascii="Times New Roman" w:cs="Times New Roman" w:eastAsia="仿宋_GB2312" w:hAnsi="Times New Roman" w:hint="default"/>
          <w:b/>
          <w:bCs/>
          <w:color w:val="auto"/>
          <w:sz w:val="32"/>
          <w:szCs w:val="32"/>
          <w:highlight w:val="none"/>
        </w:rPr>
        <w:t>填报日期</w:t>
      </w:r>
      <w:r>
        <w:rPr>
          <w:rFonts w:ascii="Times New Roman" w:cs="Times New Roman" w:eastAsia="仿宋_GB2312" w:hAnsi="Times New Roman" w:hint="default"/>
          <w:color w:val="auto"/>
          <w:sz w:val="32"/>
          <w:szCs w:val="32"/>
          <w:highlight w:val="none"/>
        </w:rPr>
        <w:t>：</w:t>
      </w:r>
      <w:r>
        <w:rPr>
          <w:rFonts w:ascii="Times New Roman" w:cs="Times New Roman" w:eastAsia="仿宋_GB2312" w:hAnsi="Times New Roman" w:hint="eastAsia"/>
          <w:b/>
          <w:bCs/>
          <w:color w:val="auto"/>
          <w:sz w:val="32"/>
          <w:szCs w:val="32"/>
          <w:highlight w:val="none"/>
          <w:lang w:val="en-US" w:eastAsia="zh-CN"/>
        </w:rPr>
        <w:t>2022年3月10日</w:t>
      </w:r>
    </w:p>
    <w:p>
      <w:pPr>
        <w:pStyle w:val="style20"/>
        <w:rPr>
          <w:rFonts w:hint="default"/>
        </w:rPr>
      </w:pPr>
    </w:p>
    <w:p>
      <w:pPr>
        <w:pStyle w:val="style20"/>
        <w:numPr>
          <w:ilvl w:val="0"/>
          <w:numId w:val="0"/>
        </w:numPr>
        <w:spacing w:lineRule="exact" w:line="590"/>
        <w:ind w:firstLine="632" w:firstLineChars="200"/>
        <w:rPr>
          <w:rFonts w:ascii="Times New Roman" w:cs="Times New Roman" w:eastAsia="黑体" w:hAnsi="Times New Roman" w:hint="default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pStyle w:val="style0"/>
        <w:rPr>
          <w:rFonts w:ascii="Times New Roman" w:cs="Times New Roman" w:eastAsia="黑体" w:hAnsi="Times New Roman" w:hint="default"/>
          <w:color w:val="auto"/>
          <w:kern w:val="0"/>
          <w:sz w:val="32"/>
          <w:szCs w:val="32"/>
          <w:highlight w:val="none"/>
          <w:lang w:val="en-US" w:eastAsia="zh-CN"/>
        </w:rPr>
      </w:pPr>
    </w:p>
    <w:p>
      <w:pPr>
        <w:pStyle w:val="style20"/>
        <w:rPr>
          <w:rFonts w:hint="default"/>
          <w:lang w:val="en-US" w:eastAsia="zh-CN"/>
        </w:rPr>
      </w:pP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tabs>
          <w:tab w:val="left" w:leader="none" w:pos="7080"/>
        </w:tabs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outlineLvl w:val="0"/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val="en-US" w:eastAsia="zh-CN"/>
        </w:rPr>
      </w:pPr>
      <w:r>
        <w:rPr>
          <w:rFonts w:ascii="Times New Roman" w:cs="Times New Roman" w:eastAsia="黑体" w:hAnsi="Times New Roman" w:hint="eastAsia"/>
          <w:bCs/>
          <w:color w:val="auto"/>
          <w:szCs w:val="32"/>
          <w:highlight w:val="none"/>
          <w:lang w:val="en-US" w:eastAsia="zh-CN"/>
        </w:rPr>
        <w:t>一、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val="en-US" w:eastAsia="zh-CN"/>
        </w:rPr>
        <w:t>政策任务建设内容</w:t>
      </w:r>
    </w:p>
    <w:p>
      <w:pPr>
        <w:pStyle w:val="style20"/>
        <w:numPr>
          <w:ilvl w:val="0"/>
          <w:numId w:val="0"/>
        </w:numPr>
        <w:ind w:firstLine="632" w:firstLineChars="200"/>
        <w:rPr>
          <w:rFonts w:ascii="仿宋" w:cs="仿宋" w:eastAsia="仿宋" w:hAnsi="仿宋" w:hint="default"/>
          <w:szCs w:val="22"/>
          <w:lang w:val="en-US" w:eastAsia="zh-CN"/>
        </w:rPr>
      </w:pPr>
      <w:r>
        <w:rPr>
          <w:rFonts w:ascii="仿宋" w:cs="仿宋" w:eastAsia="仿宋" w:hAnsi="仿宋" w:hint="eastAsia"/>
          <w:szCs w:val="22"/>
          <w:lang w:val="en-US" w:eastAsia="zh-CN"/>
        </w:rPr>
        <w:t>根据广东省农业农村厅《关于分解下达2021年农田建设任务的通知》粤农农函〔2021〕88号文件，下达我县2021年度高标准农田建设项目任务3.8万亩。</w:t>
      </w:r>
      <w:r>
        <w:rPr>
          <w:rFonts w:ascii="仿宋_GB2312" w:eastAsia="仿宋_GB2312" w:hint="eastAsia"/>
          <w:color w:val="000000"/>
          <w:sz w:val="32"/>
          <w:szCs w:val="32"/>
        </w:rPr>
        <w:t>根据省财政厅相关文件要求，下达我</w:t>
      </w: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县</w:t>
      </w:r>
      <w:r>
        <w:rPr>
          <w:rFonts w:ascii="仿宋_GB2312" w:eastAsia="仿宋_GB2312" w:hint="eastAsia"/>
          <w:color w:val="000000"/>
          <w:sz w:val="32"/>
          <w:szCs w:val="32"/>
        </w:rPr>
        <w:t>2021年中央财政农田建设补助资金</w:t>
      </w:r>
      <w:r>
        <w:rPr>
          <w:rFonts w:ascii="仿宋_GB2312" w:eastAsia="仿宋_GB2312" w:hint="eastAsia"/>
          <w:color w:val="000000"/>
          <w:sz w:val="32"/>
          <w:szCs w:val="32"/>
          <w:lang w:val="en-US" w:eastAsia="zh-CN"/>
        </w:rPr>
        <w:t>3165</w:t>
      </w:r>
      <w:r>
        <w:rPr>
          <w:rFonts w:ascii="仿宋_GB2312" w:eastAsia="仿宋_GB2312" w:hint="eastAsia"/>
          <w:color w:val="000000"/>
          <w:sz w:val="32"/>
          <w:szCs w:val="32"/>
        </w:rPr>
        <w:t>万元，</w:t>
      </w:r>
      <w:r>
        <w:rPr>
          <w:rFonts w:ascii="仿宋_GB2312" w:eastAsia="仿宋_GB2312" w:hint="eastAsia"/>
          <w:color w:val="000000"/>
          <w:sz w:val="32"/>
          <w:szCs w:val="32"/>
          <w:lang w:eastAsia="zh-CN"/>
        </w:rPr>
        <w:t>占</w:t>
      </w:r>
      <w:r>
        <w:rPr>
          <w:rFonts w:ascii="仿宋" w:cs="仿宋" w:eastAsia="仿宋" w:hAnsi="仿宋" w:hint="eastAsia"/>
          <w:szCs w:val="22"/>
          <w:lang w:val="en-US" w:eastAsia="zh-CN"/>
        </w:rPr>
        <w:t>项目总投资6937.43万元的45.62%，</w:t>
      </w:r>
      <w:r>
        <w:rPr>
          <w:rFonts w:ascii="仿宋_GB2312" w:eastAsia="仿宋_GB2312" w:hint="eastAsia"/>
          <w:color w:val="000000"/>
          <w:sz w:val="32"/>
          <w:szCs w:val="32"/>
        </w:rPr>
        <w:t>用于新建高标准农田</w:t>
      </w:r>
      <w:r>
        <w:rPr>
          <w:rFonts w:ascii="仿宋_GB2312" w:eastAsia="仿宋_GB2312" w:hint="eastAsia"/>
          <w:color w:val="000000"/>
          <w:sz w:val="32"/>
          <w:szCs w:val="32"/>
          <w:lang w:val="en-US" w:eastAsia="zh-CN"/>
        </w:rPr>
        <w:t>3.8</w:t>
      </w:r>
      <w:r>
        <w:rPr>
          <w:rFonts w:ascii="仿宋_GB2312" w:eastAsia="仿宋_GB2312" w:hint="eastAsia"/>
          <w:color w:val="000000"/>
          <w:sz w:val="32"/>
          <w:szCs w:val="32"/>
        </w:rPr>
        <w:t>万亩（其中高效节水灌溉面积0.</w:t>
      </w:r>
      <w:r>
        <w:rPr>
          <w:rFonts w:ascii="仿宋_GB2312" w:eastAsia="仿宋_GB2312" w:hint="eastAsia"/>
          <w:color w:val="000000"/>
          <w:sz w:val="32"/>
          <w:szCs w:val="32"/>
          <w:lang w:val="en-US" w:eastAsia="zh-CN"/>
        </w:rPr>
        <w:t>6</w:t>
      </w:r>
      <w:r>
        <w:rPr>
          <w:rFonts w:ascii="仿宋_GB2312" w:eastAsia="仿宋_GB2312" w:hint="eastAsia"/>
          <w:color w:val="000000"/>
          <w:sz w:val="32"/>
          <w:szCs w:val="32"/>
        </w:rPr>
        <w:t>万亩）。通过项目建设，有效改善项目区农田基础设施条件，提升耕地质量，提高粮食综合生产能力。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rPr>
          <w:rFonts w:ascii="Times New Roman" w:cs="Times New Roman" w:eastAsia="黑体" w:hAnsi="Times New Roman" w:hint="eastAsia"/>
          <w:bCs/>
          <w:color w:val="auto"/>
          <w:szCs w:val="32"/>
          <w:highlight w:val="none"/>
          <w:lang w:eastAsia="zh-CN"/>
        </w:rPr>
      </w:pP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</w:rPr>
        <w:t>二、绩效目标完成情况分析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outlineLvl w:val="0"/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</w:rPr>
      </w:pPr>
      <w:r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</w:rPr>
        <w:t>（一）资金投入情况分析。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left="0" w:leftChars="0" w:firstLine="632" w:firstLineChars="200"/>
        <w:textAlignment w:val="auto"/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</w:pPr>
      <w:r>
        <w:rPr>
          <w:rFonts w:ascii="仿宋_GB2312" w:cs="仿宋_GB2312" w:eastAsia="仿宋_GB2312" w:hAnsi="仿宋_GB2312" w:hint="eastAsia"/>
          <w:color w:val="auto"/>
          <w:szCs w:val="32"/>
          <w:highlight w:val="none"/>
        </w:rPr>
        <w:t>1.项目资金到位情况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  <w:t>；</w:t>
      </w:r>
    </w:p>
    <w:p>
      <w:pPr>
        <w:pStyle w:val="style20"/>
        <w:ind w:left="0" w:leftChars="0" w:firstLine="632" w:firstLineChars="200"/>
        <w:rPr>
          <w:rFonts w:eastAsia="仿宋_GB2312" w:hint="default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val="en-US" w:eastAsia="zh-CN"/>
        </w:rPr>
        <w:t>2021年1月26日，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  <w:t>湛江市财政局《关于下达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val="en-US" w:eastAsia="zh-CN"/>
        </w:rPr>
        <w:t>2021年度中央财政农田建设补助资金的通知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  <w:t>》湛财农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val="en-US" w:eastAsia="zh-CN"/>
        </w:rPr>
        <w:t>[2021]16号下达我县中央农田建设补助资金3011万元；2021年5月8日广东省财政厅《关于下达2021年中央财政农田建设补助资金（第2批）的通知》粤财农[2021]50号下达我县中央农田建设补助资金154万元；2020年11月1日《广东省财政厅关于提前下达2021年省级涉农专项转移支付资金的通知》（粤财农[2020]132号）统筹安排我县2021年度高标准农田省级涉农资金3000万元；2020年12月15日湛江市财政局《关于下达2020年中央财政农田建设补助资金（第2批、第3批）的通知》湛财农[2020]156号 下达772.434万元，我县统筹用于2021年度高标准农田建设项目，2021年度徐闻县高标准农田建设项目总投资6937.43万元全部到位。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firstLine="632" w:firstLineChars="200"/>
        <w:textAlignment w:val="auto"/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</w:pP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val="en-US" w:eastAsia="zh-CN"/>
        </w:rPr>
        <w:t>2.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</w:rPr>
        <w:t>项目资金执行情况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  <w:t>；</w:t>
      </w:r>
    </w:p>
    <w:p>
      <w:pPr>
        <w:pStyle w:val="style0"/>
        <w:ind w:firstLine="632" w:firstLineChars="200"/>
        <w:rPr>
          <w:rFonts w:ascii="仿宋_GB2312" w:cs="Times New Roman" w:eastAsia="仿宋_GB2312" w:hAnsi="Calibri" w:hint="default"/>
          <w:color w:val="000000"/>
          <w:kern w:val="2"/>
          <w:sz w:val="32"/>
          <w:szCs w:val="32"/>
          <w:lang w:val="en-US" w:bidi="ar-SA" w:eastAsia="zh-CN"/>
        </w:rPr>
      </w:pPr>
      <w:r>
        <w:rPr>
          <w:rFonts w:ascii="仿宋_GB2312" w:cs="Times New Roman" w:eastAsia="仿宋_GB2312" w:hAnsi="Calibri" w:hint="eastAsia"/>
          <w:color w:val="000000"/>
          <w:kern w:val="2"/>
          <w:sz w:val="32"/>
          <w:szCs w:val="32"/>
          <w:lang w:val="en-US" w:bidi="ar-SA" w:eastAsia="zh-CN"/>
        </w:rPr>
        <w:t>到2022年2月28日止，已支付资金 5140.09  万元，其中：中央资金支付 2158.97 万元，中央资金执行率为68.2 % ，省级涉农资金支付 2981.12万元，省级涉农资金执行率为99.37%。其中：施工费支付： 4632.17万元，监理费支付 70.5  万元；设计费支付 202.73万元；项目管理费支付 145.68 万元；项目资金执行率为74.09%。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firstLine="632" w:firstLineChars="200"/>
        <w:textAlignment w:val="auto"/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</w:pP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val="en-US" w:eastAsia="zh-CN"/>
        </w:rPr>
        <w:t>3.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</w:rPr>
        <w:t>项目资金管理</w:t>
      </w:r>
      <w:r>
        <w:rPr>
          <w:rFonts w:ascii="仿宋_GB2312" w:cs="仿宋_GB2312" w:eastAsia="仿宋_GB2312" w:hAnsi="仿宋_GB2312" w:hint="eastAsia"/>
          <w:color w:val="auto"/>
          <w:szCs w:val="32"/>
          <w:highlight w:val="none"/>
          <w:lang w:eastAsia="zh-CN"/>
        </w:rPr>
        <w:t>及使用合理性；</w:t>
      </w:r>
    </w:p>
    <w:p>
      <w:pPr>
        <w:pStyle w:val="style20"/>
        <w:ind w:left="0" w:leftChars="0" w:firstLine="632" w:firstLineChars="200"/>
        <w:jc w:val="left"/>
        <w:rPr>
          <w:rFonts w:hint="eastAsia"/>
          <w:lang w:eastAsia="zh-CN"/>
        </w:rPr>
      </w:pPr>
      <w:r>
        <w:rPr>
          <w:rFonts w:ascii="仿宋_GB2312" w:cs="Times New Roman" w:eastAsia="仿宋_GB2312" w:hAnsi="Calibri" w:hint="eastAsia"/>
          <w:color w:val="000000"/>
          <w:kern w:val="2"/>
          <w:sz w:val="32"/>
          <w:szCs w:val="32"/>
          <w:lang w:val="en-US" w:bidi="ar-SA" w:eastAsia="zh-CN"/>
        </w:rPr>
        <w:t>项目资金的管理严格执行《农田建设补助资金管理方法》的相关规定，项目对建设资金实行专人管理、专账核算、专款专用“三专制”，从财务基础工作上有效避免挪用、截留、浪费资金现象发生，确保资金报帐的真实性、合理性、合法性和专款专用。同时，严格审核报账凭证，确保项目资金专款专用，有效实施报帐控制，在项目建设过程中，施工单位凭原始凭证及阶段性工程结算单分批报账，经工程监理单位核实、业主单位、主管部门审核后再交财政部门审核同意后支付资金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outlineLvl w:val="0"/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  <w:lang w:val="en-US" w:eastAsia="zh-CN"/>
        </w:rPr>
      </w:pPr>
      <w:r>
        <w:rPr>
          <w:rFonts w:ascii="Times New Roman" w:cs="Times New Roman" w:eastAsia="楷体_GB2312" w:hAnsi="Times New Roman" w:hint="eastAsia"/>
          <w:b/>
          <w:bCs/>
          <w:color w:val="auto"/>
          <w:szCs w:val="32"/>
          <w:highlight w:val="none"/>
          <w:lang w:val="en-US" w:eastAsia="zh-CN"/>
        </w:rPr>
        <w:t>（二）</w:t>
      </w:r>
      <w:r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  <w:lang w:val="en-US" w:eastAsia="zh-CN"/>
        </w:rPr>
        <w:t>总体绩效目标完成情况分析。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beforeAutospacing="false" w:afterAutospacing="false" w:lineRule="exact" w:line="590"/>
        <w:ind w:left="0" w:leftChars="0" w:right="0" w:rightChars="0" w:firstLine="632" w:firstLineChars="200"/>
        <w:jc w:val="both"/>
        <w:rPr>
          <w:rFonts w:ascii="仿宋_GB2312" w:cs="Times New Roman" w:eastAsia="仿宋_GB2312" w:hAnsi="Calibri" w:hint="default"/>
          <w:color w:val="000000"/>
          <w:kern w:val="2"/>
          <w:sz w:val="32"/>
          <w:szCs w:val="32"/>
          <w:lang w:val="en-US" w:bidi="ar-SA" w:eastAsia="zh-CN"/>
        </w:rPr>
      </w:pPr>
      <w:r>
        <w:rPr>
          <w:rFonts w:ascii="仿宋_GB2312" w:cs="Times New Roman" w:eastAsia="仿宋_GB2312" w:hAnsi="Calibri" w:hint="eastAsia"/>
          <w:color w:val="000000"/>
          <w:kern w:val="2"/>
          <w:sz w:val="32"/>
          <w:szCs w:val="32"/>
          <w:lang w:val="en-US" w:bidi="ar-SA" w:eastAsia="zh-CN"/>
        </w:rPr>
        <w:t>徐闻县2021年度高标准农田建设项目建设面积3.8万亩（含0.6万亩高效节水灌溉），总投资6937.43万元，项目于2021年10月16日正式动工建设，截止2022年2月底，项目完成总工程进度约90%，项目完成资金支付 5140.09  万元，资金支付率 74.09 %。项目预计能按省、市有关要求在2022年3月底前全面完工，完成项目总体绩效目标,田间道路通达率达到90%以上。粮食综合生产能力明显提升，耕地质量和水资源利用率逐步提升。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outlineLvl w:val="0"/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</w:rPr>
      </w:pPr>
      <w:r>
        <w:rPr>
          <w:rFonts w:ascii="Times New Roman" w:cs="Times New Roman" w:eastAsia="楷体_GB2312" w:hAnsi="Times New Roman" w:hint="eastAsia"/>
          <w:b/>
          <w:bCs/>
          <w:color w:val="auto"/>
          <w:szCs w:val="32"/>
          <w:highlight w:val="none"/>
          <w:lang w:eastAsia="zh-CN"/>
        </w:rPr>
        <w:t>（三）</w:t>
      </w:r>
      <w:r>
        <w:rPr>
          <w:rFonts w:ascii="Times New Roman" w:cs="Times New Roman" w:eastAsia="楷体_GB2312" w:hAnsi="Times New Roman" w:hint="default"/>
          <w:b/>
          <w:bCs/>
          <w:color w:val="auto"/>
          <w:szCs w:val="32"/>
          <w:highlight w:val="none"/>
        </w:rPr>
        <w:t>绩效目标完成情况分析。</w:t>
      </w:r>
    </w:p>
    <w:p>
      <w:pPr>
        <w:pStyle w:val="style20"/>
        <w:ind w:left="0" w:leftChars="0" w:firstLine="632" w:firstLineChars="200"/>
        <w:rPr>
          <w:rFonts w:ascii="仿宋" w:cs="仿宋" w:eastAsia="仿宋" w:hAnsi="仿宋" w:hint="eastAsia"/>
          <w:b w:val="false"/>
          <w:bCs w:val="false"/>
          <w:color w:val="auto"/>
          <w:szCs w:val="32"/>
          <w:highlight w:val="none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color w:val="auto"/>
          <w:szCs w:val="32"/>
          <w:highlight w:val="none"/>
          <w:lang w:eastAsia="zh-CN"/>
        </w:rPr>
        <w:t>项目通过综合治理，目前已完成高标准农田约</w:t>
      </w:r>
      <w:r>
        <w:rPr>
          <w:rFonts w:ascii="仿宋" w:cs="仿宋" w:eastAsia="仿宋" w:hAnsi="仿宋" w:hint="eastAsia"/>
          <w:b w:val="false"/>
          <w:bCs w:val="false"/>
          <w:color w:val="auto"/>
          <w:szCs w:val="32"/>
          <w:highlight w:val="none"/>
          <w:lang w:val="en-US" w:eastAsia="zh-CN"/>
        </w:rPr>
        <w:t>3.5万亩，极大地改善项目区农业生产条件，提高土地的适宜性，减少生产成本；治理后种植结构随市场需求状况及时调整，促使农作物布局调整，淘汰低效作物，改种高效农作物，使原先的农田变为高产稳定田。农产品生产能力、种植业产值、农民年收入得到提高。进一步保障粮食生产，为进一步保障粮食生产，为农业增效，农民增收做出更大贡献。</w:t>
      </w:r>
    </w:p>
    <w:p>
      <w:pPr>
        <w:pStyle w:val="style0"/>
        <w:ind w:firstLine="632" w:firstLineChars="200"/>
        <w:rPr>
          <w:rFonts w:eastAsia="仿宋" w:hint="default"/>
          <w:lang w:val="en-US" w:eastAsia="zh-CN"/>
        </w:rPr>
      </w:pPr>
      <w:r>
        <w:rPr>
          <w:rFonts w:ascii="仿宋" w:cs="仿宋" w:eastAsia="仿宋" w:hAnsi="仿宋" w:hint="eastAsia"/>
          <w:b w:val="false"/>
          <w:bCs w:val="false"/>
          <w:color w:val="auto"/>
          <w:szCs w:val="32"/>
          <w:highlight w:val="none"/>
          <w:lang w:val="en-US" w:eastAsia="zh-CN"/>
        </w:rPr>
        <w:t>项目实施完工投入运行后，项目区作物生产周期实现一年三熟，提高复种指数。由于耕地质量提高和生产条件改善，初步估算水稻亩均年增产25公斤，年新增粮食95公斤，蔬菜亩均年增产100公斤，年新增蔬菜380万公斤。按当地目前水稻市场价格为4元/公斤，蔬菜约3.5元/公斤算，本项目建成投入运行后，年新增种植业产值1710万元，经济效益显著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</w:pPr>
      <w:r>
        <w:rPr>
          <w:rFonts w:ascii="Times New Roman" w:cs="Times New Roman" w:eastAsia="黑体" w:hAnsi="Times New Roman" w:hint="default"/>
          <w:color w:val="auto"/>
          <w:kern w:val="0"/>
          <w:sz w:val="32"/>
          <w:szCs w:val="32"/>
          <w:highlight w:val="none"/>
          <w:lang w:val="en-US" w:eastAsia="zh-CN"/>
        </w:rPr>
        <w:t>三、工作亮点及突出成绩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  <w:t>（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val="en-US" w:eastAsia="zh-CN"/>
        </w:rPr>
        <w:t>详写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  <w:t>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left="0" w:leftChars="0" w:firstLine="632" w:firstLineChars="200"/>
        <w:textAlignment w:val="auto"/>
        <w:outlineLvl w:val="9"/>
        <w:rPr>
          <w:rFonts w:ascii="仿宋_GB2312" w:cs="仿宋_GB2312" w:eastAsia="仿宋_GB2312" w:hAnsi="仿宋_GB2312" w:hint="eastAsia"/>
          <w:color w:val="auto"/>
          <w:kern w:val="0"/>
          <w:sz w:val="32"/>
          <w:szCs w:val="32"/>
          <w:highlight w:val="none"/>
          <w:lang w:val="en-US" w:bidi="ar-SA" w:eastAsia="zh-CN"/>
        </w:rPr>
      </w:pPr>
      <w:r>
        <w:rPr>
          <w:rFonts w:ascii="仿宋_GB2312" w:cs="仿宋_GB2312" w:eastAsia="仿宋_GB2312" w:hAnsi="仿宋_GB2312" w:hint="eastAsia"/>
          <w:color w:val="auto"/>
          <w:kern w:val="0"/>
          <w:sz w:val="32"/>
          <w:szCs w:val="32"/>
          <w:highlight w:val="none"/>
          <w:lang w:val="en-US" w:bidi="ar-SA" w:eastAsia="zh-CN"/>
        </w:rPr>
        <w:t>无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textAlignment w:val="auto"/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</w:pP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val="en-US" w:eastAsia="zh-CN"/>
        </w:rPr>
        <w:t>四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</w:rPr>
        <w:t>、偏离绩效目标的原因和下一步改进措施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  <w:t>（</w:t>
      </w:r>
      <w:r>
        <w:rPr>
          <w:rFonts w:ascii="Times New Roman" w:cs="Times New Roman" w:eastAsia="黑体" w:hAnsi="Times New Roman" w:hint="eastAsia"/>
          <w:bCs/>
          <w:color w:val="auto"/>
          <w:szCs w:val="32"/>
          <w:highlight w:val="none"/>
          <w:lang w:val="en-US" w:eastAsia="zh-CN"/>
        </w:rPr>
        <w:t>重点，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val="en-US" w:eastAsia="zh-CN"/>
        </w:rPr>
        <w:t>详写</w:t>
      </w: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  <w:t>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left="0" w:leftChars="0" w:firstLine="632" w:firstLineChars="200"/>
        <w:textAlignment w:val="auto"/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  <w:t>2021年度徐闻县高标准农田建设项目任务3.8万亩，截止2022年度2月28日，完成建设面积约3.5万亩，绩效目标完成率92%，预计2022年3月底绩效目标完成率100%。因该项目为跨年度项目，项目于2021年10月16日才正式动工建设，导致项目未能在2021年底完成，但预计能按照省、市要求在2022年3月底全面完工。</w:t>
      </w:r>
    </w:p>
    <w:p>
      <w:pPr>
        <w:pStyle w:val="style20"/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  <w:t xml:space="preserve">下一步改进措施 </w:t>
      </w:r>
    </w:p>
    <w:p>
      <w:pPr>
        <w:pStyle w:val="style0"/>
        <w:ind w:firstLine="632" w:firstLineChars="200"/>
        <w:rPr>
          <w:rFonts w:hint="default"/>
          <w:lang w:val="en-US" w:eastAsia="zh-CN"/>
        </w:rPr>
      </w:pPr>
      <w:r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  <w:t>督促建设单位要催促施工单位合理科学安排施工计划，增加机械班次及施工人员来加快施工进度，要求监理单位要跟踪到位，</w:t>
      </w:r>
      <w:r>
        <w:rPr>
          <w:rFonts w:ascii="仿宋_GB2312" w:cs="Times New Roman" w:eastAsia="仿宋_GB2312" w:hAnsi="Calibri" w:hint="eastAsia"/>
          <w:color w:val="000000"/>
          <w:kern w:val="2"/>
          <w:sz w:val="32"/>
          <w:szCs w:val="32"/>
          <w:lang w:val="en-US" w:bidi="ar-SA" w:eastAsia="zh-CN"/>
        </w:rPr>
        <w:t>确保项目</w:t>
      </w:r>
      <w:r>
        <w:rPr>
          <w:rFonts w:ascii="仿宋_GB2312" w:cs="仿宋_GB2312" w:eastAsia="仿宋_GB2312" w:hAnsi="仿宋_GB2312" w:hint="eastAsia"/>
          <w:color w:val="auto"/>
          <w:highlight w:val="none"/>
          <w:lang w:val="en-US" w:eastAsia="zh-CN"/>
        </w:rPr>
        <w:t>按照省市要求在2022年3月底前</w:t>
      </w:r>
      <w:r>
        <w:rPr>
          <w:rFonts w:ascii="仿宋_GB2312" w:cs="Times New Roman" w:eastAsia="仿宋_GB2312" w:hAnsi="Calibri" w:hint="eastAsia"/>
          <w:color w:val="000000"/>
          <w:kern w:val="2"/>
          <w:sz w:val="32"/>
          <w:szCs w:val="32"/>
          <w:lang w:val="en-US" w:bidi="ar-SA" w:eastAsia="zh-CN"/>
        </w:rPr>
        <w:t>按质、按量完成建设任务。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left="0" w:leftChars="0" w:firstLine="632" w:firstLineChars="200"/>
        <w:textAlignment w:val="auto"/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  <w:lang w:eastAsia="zh-CN"/>
        </w:rPr>
      </w:pPr>
      <w:r>
        <w:rPr>
          <w:rFonts w:ascii="Times New Roman" w:cs="Times New Roman" w:eastAsia="黑体" w:hAnsi="Times New Roman" w:hint="default"/>
          <w:bCs/>
          <w:color w:val="auto"/>
          <w:szCs w:val="32"/>
          <w:highlight w:val="none"/>
        </w:rPr>
        <w:t>五、其他需要说明的问题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exact" w:line="590"/>
        <w:ind w:left="0" w:leftChars="0" w:firstLine="632" w:firstLineChars="200"/>
        <w:textAlignment w:val="auto"/>
        <w:rPr>
          <w:rFonts w:ascii="仿宋_GB2312" w:cs="仿宋_GB2312" w:eastAsia="仿宋_GB2312" w:hAnsi="仿宋_GB2312" w:hint="eastAsia"/>
          <w:color w:val="auto"/>
          <w:highlight w:val="none"/>
          <w:lang w:eastAsia="zh-CN"/>
        </w:rPr>
      </w:pPr>
      <w:r>
        <w:rPr>
          <w:rFonts w:ascii="仿宋_GB2312" w:cs="仿宋_GB2312" w:eastAsia="仿宋_GB2312" w:hAnsi="仿宋_GB2312" w:hint="eastAsia"/>
          <w:color w:val="auto"/>
          <w:highlight w:val="none"/>
          <w:lang w:eastAsia="zh-CN"/>
        </w:rPr>
        <w:t>未发现</w:t>
      </w:r>
      <w:r>
        <w:rPr>
          <w:rFonts w:ascii="仿宋_GB2312" w:cs="仿宋_GB2312" w:eastAsia="仿宋_GB2312" w:hAnsi="仿宋_GB2312" w:hint="eastAsia"/>
          <w:color w:val="auto"/>
          <w:highlight w:val="none"/>
        </w:rPr>
        <w:t>中央巡视、各级审计和财政监督中发现的问题及其所涉及的金额</w:t>
      </w:r>
      <w:r>
        <w:rPr>
          <w:rFonts w:ascii="仿宋_GB2312" w:cs="仿宋_GB2312" w:eastAsia="仿宋_GB2312" w:hAnsi="仿宋_GB2312" w:hint="eastAsia"/>
          <w:color w:val="auto"/>
          <w:highlight w:val="none"/>
          <w:lang w:eastAsia="zh-CN"/>
        </w:rPr>
        <w:t>。</w:t>
      </w:r>
    </w:p>
    <w:bookmarkStart w:id="0" w:name="抄送"/>
    <w:bookmarkEnd w:id="0"/>
    <w:p>
      <w:pPr>
        <w:pStyle w:val="style0"/>
        <w:rPr>
          <w:rFonts w:ascii="Times New Roman" w:cs="Times New Roman" w:eastAsia="仿宋_GB2312" w:hAnsi="Times New Roman" w:hint="default"/>
          <w:snapToGrid w:val="false"/>
          <w:color w:val="auto"/>
          <w:kern w:val="0"/>
          <w:sz w:val="28"/>
          <w:szCs w:val="28"/>
          <w:highlight w:val="none"/>
        </w:rPr>
      </w:pPr>
    </w:p>
    <w:p>
      <w:pPr>
        <w:pStyle w:val="style20"/>
        <w:rPr>
          <w:rFonts w:ascii="Times New Roman" w:cs="Times New Roman" w:eastAsia="仿宋_GB2312" w:hAnsi="Times New Roman" w:hint="default"/>
          <w:snapToGrid w:val="false"/>
          <w:color w:val="auto"/>
          <w:kern w:val="0"/>
          <w:sz w:val="28"/>
          <w:szCs w:val="28"/>
          <w:highlight w:val="none"/>
        </w:rPr>
      </w:pPr>
    </w:p>
    <w:p>
      <w:pPr>
        <w:pStyle w:val="style0"/>
        <w:ind w:firstLine="5056" w:firstLineChars="1600"/>
        <w:rPr>
          <w:rFonts w:ascii="仿宋" w:cs="仿宋" w:eastAsia="仿宋" w:hAnsi="仿宋" w:hint="eastAsia"/>
          <w:snapToGrid w:val="false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ascii="仿宋" w:cs="仿宋" w:eastAsia="仿宋" w:hAnsi="仿宋" w:hint="eastAsia"/>
          <w:snapToGrid w:val="false"/>
          <w:color w:val="auto"/>
          <w:kern w:val="0"/>
          <w:sz w:val="32"/>
          <w:szCs w:val="32"/>
          <w:highlight w:val="none"/>
          <w:lang w:eastAsia="zh-CN"/>
        </w:rPr>
        <w:t>徐闻县农业农村局</w:t>
      </w:r>
    </w:p>
    <w:p>
      <w:pPr>
        <w:pStyle w:val="style0"/>
        <w:ind w:firstLine="5056" w:firstLineChars="1600"/>
        <w:rPr>
          <w:rFonts w:ascii="仿宋" w:cs="仿宋" w:eastAsia="仿宋" w:hAnsi="仿宋" w:hint="eastAsia"/>
          <w:sz w:val="32"/>
          <w:szCs w:val="32"/>
          <w:lang w:val="en-US" w:eastAsia="zh-CN"/>
        </w:rPr>
        <w:sectPr>
          <w:pgSz w:w="11906" w:h="16838" w:orient="portrait"/>
          <w:pgMar w:top="1871" w:right="1531" w:bottom="1871" w:left="1531" w:header="851" w:footer="1418" w:gutter="0"/>
          <w:pgNumType w:fmt="decimal" w:start="1"/>
          <w:cols w:space="720" w:num="1"/>
          <w:titlePg/>
          <w:docGrid w:type="linesAndChars" w:linePitch="590" w:charSpace="-1024"/>
        </w:sectPr>
      </w:pPr>
      <w:r>
        <w:rPr>
          <w:rFonts w:ascii="仿宋" w:cs="仿宋" w:eastAsia="仿宋" w:hAnsi="仿宋" w:hint="eastAsia"/>
          <w:snapToGrid w:val="false"/>
          <w:color w:val="auto"/>
          <w:kern w:val="0"/>
          <w:sz w:val="32"/>
          <w:szCs w:val="32"/>
          <w:highlight w:val="none"/>
          <w:lang w:val="en-US" w:eastAsia="zh-CN"/>
        </w:rPr>
        <w:t>2022年3月10日</w:t>
      </w:r>
    </w:p>
    <w:p>
      <w:pPr>
        <w:pStyle w:val="style0"/>
        <w:keepNext w:val="false"/>
        <w:keepLines w:val="false"/>
        <w:widowControl w:val="false"/>
        <w:suppressLineNumbers w:val="false"/>
        <w:spacing w:lineRule="exact" w:line="590"/>
        <w:jc w:val="both"/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</w:pPr>
      <w:r>
        <w:rPr>
          <w:rFonts w:ascii="黑体" w:cs="黑体" w:eastAsia="黑体" w:hAnsi="黑体" w:hint="eastAsia"/>
          <w:sz w:val="32"/>
          <w:szCs w:val="32"/>
          <w:highlight w:val="none"/>
          <w:lang w:val="en-US" w:eastAsia="zh-CN"/>
        </w:rPr>
        <w:t xml:space="preserve">附件2 </w:t>
      </w:r>
    </w:p>
    <w:tbl>
      <w:tblPr>
        <w:tblStyle w:val="style10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429"/>
        <w:gridCol w:w="1180"/>
        <w:gridCol w:w="1567"/>
        <w:gridCol w:w="1579"/>
        <w:gridCol w:w="1136"/>
        <w:gridCol w:w="1132"/>
        <w:gridCol w:w="1362"/>
      </w:tblGrid>
      <w:tr>
        <w:trPr>
          <w:trHeight w:val="58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方正小标宋简体" w:cs="方正小标宋简体" w:eastAsia="方正小标宋简体" w:hAnsi="方正小标宋简体"/>
                <w:i w:val="false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ascii="方正小标宋简体" w:cs="方正小标宋简体" w:eastAsia="方正小标宋简体" w:hAnsi="方正小标宋简体" w:hint="eastAsia"/>
                <w:i w:val="false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t>2021年度中央对地方转移支付资金（农田建设补助资金）绩效目标自评表</w:t>
            </w:r>
          </w:p>
        </w:tc>
      </w:tr>
      <w:tr>
        <w:tblPrEx/>
        <w:trPr>
          <w:trHeight w:val="36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top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填表单位：徐闻县农业农村局                                                       单位：万元</w:t>
            </w:r>
          </w:p>
        </w:tc>
      </w:tr>
      <w:tr>
        <w:tblPrEx/>
        <w:trPr>
          <w:trHeight w:val="680" w:hRule="atLeast"/>
        </w:trPr>
        <w:tc>
          <w:tcPr>
            <w:tcW w:w="2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省下达资金文号</w:t>
            </w:r>
          </w:p>
        </w:tc>
        <w:tc>
          <w:tcPr>
            <w:tcW w:w="6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760" w:hRule="atLeast"/>
        </w:trPr>
        <w:tc>
          <w:tcPr>
            <w:tcW w:w="20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项目资金（万元）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资金情况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全年预算数（A）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全年执行数（B）（按照国库集中支付制度要求所形成的实际支出）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预算执行率（B/A）</w:t>
            </w:r>
          </w:p>
        </w:tc>
      </w:tr>
      <w:tr>
        <w:tblPrEx/>
        <w:trPr>
          <w:trHeight w:val="319" w:hRule="atLeast"/>
        </w:trPr>
        <w:tc>
          <w:tcPr>
            <w:tcW w:w="209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年度资金总额：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6937.43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5140.09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74.09%</w:t>
            </w:r>
          </w:p>
        </w:tc>
      </w:tr>
      <w:tr>
        <w:tblPrEx/>
        <w:trPr>
          <w:trHeight w:val="319" w:hRule="atLeast"/>
        </w:trPr>
        <w:tc>
          <w:tcPr>
            <w:tcW w:w="209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 xml:space="preserve"> 其中：中央补助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3937.34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 xml:space="preserve"> 2158.97 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68.2 %</w:t>
            </w:r>
          </w:p>
        </w:tc>
      </w:tr>
      <w:tr>
        <w:tblPrEx/>
        <w:trPr>
          <w:trHeight w:val="319" w:hRule="atLeast"/>
        </w:trPr>
        <w:tc>
          <w:tcPr>
            <w:tcW w:w="209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   地方资金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300</w:t>
            </w:r>
            <w:r>
              <w:rPr>
                <w:rFonts w:ascii="宋体" w:cs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 xml:space="preserve"> 2981.12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99.37%</w:t>
            </w:r>
          </w:p>
        </w:tc>
      </w:tr>
      <w:tr>
        <w:tblPrEx/>
        <w:trPr>
          <w:trHeight w:val="319" w:hRule="atLeast"/>
        </w:trPr>
        <w:tc>
          <w:tcPr>
            <w:tcW w:w="209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right"/>
              <w:textAlignment w:val="center"/>
              <w:rPr>
                <w:rFonts w:ascii="宋体" w:cs="宋体" w:eastAsia="宋体" w:hAnsi="宋体" w:hint="default"/>
                <w:i w:val="false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其他资金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  <w:lang w:val="en-US" w:eastAsia="zh-CN"/>
              </w:rPr>
              <w:t>772.434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ff000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580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年度总体目标</w:t>
            </w:r>
          </w:p>
        </w:tc>
        <w:tc>
          <w:tcPr>
            <w:tcW w:w="4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年初设定总体目标（略写，具体在自评报告陈述）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全年实际完成情况（分要点，简练概括，具体情况可在自评报告陈述，</w:t>
            </w:r>
            <w:bookmarkStart w:id="1" w:name="_GoBack"/>
            <w:bookmarkEnd w:id="1"/>
            <w:r>
              <w:rPr>
                <w:rFonts w:ascii="宋体" w:cs="宋体" w:eastAsia="宋体" w:hAnsi="宋体" w:hint="eastAsia"/>
                <w:i w:val="false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减少重复）</w:t>
            </w:r>
          </w:p>
        </w:tc>
      </w:tr>
      <w:tr>
        <w:tblPrEx/>
        <w:trPr>
          <w:trHeight w:val="1506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both"/>
              <w:rPr>
                <w:rFonts w:ascii="宋体" w:cs="宋体" w:eastAsia="宋体" w:hAnsi="宋体" w:hint="default"/>
                <w:i w:val="false"/>
                <w:color w:val="auto"/>
                <w:sz w:val="16"/>
                <w:szCs w:val="16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新建高标准农田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3.8万亩，通过项目建设，有效改善区农田基础设施条件，提升耕地质量，提高粮食综合生产能力。其中：新增高效节水灌溉面积0.6万亩，提升农田灌溉排水和节水能力。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我县实际完成新增高标准农田面积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3.8万亩，其中高效节水灌溉面积0.6万亩。田间道路通达率达95%，粮食综合生产能力明显提升，耕地质量和水资源利用率逐步提升。</w:t>
            </w:r>
          </w:p>
        </w:tc>
      </w:tr>
      <w:tr>
        <w:tblPrEx/>
        <w:trPr>
          <w:trHeight w:val="800" w:hRule="atLeast"/>
        </w:trPr>
        <w:tc>
          <w:tcPr>
            <w:tcW w:w="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绩效指标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一级</w:t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指标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二级指标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三级指标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年度指标值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全年完成值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未完成原因和改进措施</w:t>
            </w:r>
            <w:r>
              <w:rPr>
                <w:rStyle w:val="style4098"/>
                <w:color w:val="auto"/>
                <w:highlight w:val="none"/>
                <w:lang w:val="en-US" w:eastAsia="zh-CN"/>
              </w:rPr>
              <w:t>（略写，在自评报告详写）</w:t>
            </w:r>
          </w:p>
        </w:tc>
      </w:tr>
      <w:tr>
        <w:tblPrEx/>
        <w:trPr>
          <w:trHeight w:val="34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产</w:t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出</w:t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指</w:t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标</w:t>
            </w: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数量指标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新建高标准农田面积（万亩）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3.8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3.5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16"/>
                <w:szCs w:val="16"/>
                <w:highlight w:val="none"/>
                <w:u w:val="none"/>
                <w:lang w:val="en-US" w:eastAsia="zh-CN"/>
              </w:rPr>
              <w:t>2022年3月底完成</w:t>
            </w:r>
          </w:p>
        </w:tc>
      </w:tr>
      <w:tr>
        <w:tblPrEx/>
        <w:trPr>
          <w:trHeight w:val="34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180" w:type="dxa"/>
            <w:vMerge w:val="continue"/>
            <w:tcBorders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其中：高效节水灌溉面积（万亩）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0.6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0.54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16"/>
                <w:szCs w:val="16"/>
                <w:highlight w:val="none"/>
                <w:u w:val="none"/>
                <w:lang w:val="en-US" w:eastAsia="zh-CN"/>
              </w:rPr>
              <w:t>2022年3月底完成</w:t>
            </w:r>
          </w:p>
        </w:tc>
      </w:tr>
      <w:tr>
        <w:tblPrEx/>
        <w:trPr>
          <w:trHeight w:val="40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质量指标</w:t>
            </w:r>
          </w:p>
        </w:tc>
        <w:tc>
          <w:tcPr>
            <w:tcW w:w="31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项目验收合格率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Arial" w:cs="Arial" w:eastAsia="宋体" w:hAnsi="Arial" w:hint="default"/>
                <w:i w:val="false"/>
                <w:color w:val="auto"/>
                <w:sz w:val="20"/>
                <w:szCs w:val="20"/>
                <w:highlight w:val="none"/>
                <w:u w:val="none"/>
              </w:rPr>
              <w:t>≥</w:t>
            </w:r>
            <w:r>
              <w:rPr>
                <w:rFonts w:ascii="Arial" w:cs="Arial" w:eastAsia="宋体" w:hAnsi="Arial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95%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未验收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40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时效指标</w:t>
            </w:r>
          </w:p>
        </w:tc>
        <w:tc>
          <w:tcPr>
            <w:tcW w:w="31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任务完成及时性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1-2年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76" w:firstLineChars="100"/>
              <w:jc w:val="left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2年内（2022年3月底前）可完成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40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成本指标</w:t>
            </w:r>
          </w:p>
        </w:tc>
        <w:tc>
          <w:tcPr>
            <w:tcW w:w="31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财政资金亩均补助水平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Arial" w:cs="Arial" w:eastAsia="宋体" w:hAnsi="Arial" w:hint="default"/>
                <w:i w:val="false"/>
                <w:color w:val="auto"/>
                <w:sz w:val="20"/>
                <w:szCs w:val="20"/>
                <w:highlight w:val="none"/>
                <w:u w:val="none"/>
              </w:rPr>
              <w:t>≥</w:t>
            </w:r>
            <w:r>
              <w:rPr>
                <w:rFonts w:ascii="Arial" w:cs="Arial" w:eastAsia="宋体" w:hAnsi="Arial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1500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50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效益指标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经济效益指标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提高种植业产值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50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社会效益指标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粮食综合生产能力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明显提升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100%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474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生态效益指标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耕地质量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逐步提升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100%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474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可持续影响指标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水资源利用率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ind w:firstLine="196" w:firstLineChars="100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eastAsia="zh-CN"/>
              </w:rPr>
              <w:t>逐步提升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100%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620" w:hRule="atLeast"/>
        </w:trPr>
        <w:tc>
          <w:tcPr>
            <w:tcW w:w="4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满意度指标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服务对象</w:t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br/>
            </w: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满意度指标</w:t>
            </w:r>
          </w:p>
        </w:tc>
        <w:tc>
          <w:tcPr>
            <w:tcW w:w="3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受益群众满意率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</w:t>
            </w:r>
            <w:r>
              <w:rPr>
                <w:rFonts w:ascii="Arial" w:cs="Arial" w:eastAsia="宋体" w:hAnsi="Arial" w:hint="default"/>
                <w:i w:val="false"/>
                <w:color w:val="auto"/>
                <w:sz w:val="20"/>
                <w:szCs w:val="20"/>
                <w:highlight w:val="none"/>
                <w:u w:val="none"/>
              </w:rPr>
              <w:t>≥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90%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rPr>
                <w:rFonts w:ascii="宋体" w:cs="宋体" w:eastAsia="宋体" w:hAnsi="宋体" w:hint="default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   </w:t>
            </w:r>
            <w:r>
              <w:rPr>
                <w:rFonts w:ascii="Arial" w:cs="Arial" w:eastAsia="宋体" w:hAnsi="Arial" w:hint="default"/>
                <w:i w:val="false"/>
                <w:color w:val="auto"/>
                <w:sz w:val="20"/>
                <w:szCs w:val="20"/>
                <w:highlight w:val="none"/>
                <w:u w:val="none"/>
              </w:rPr>
              <w:t>≥</w:t>
            </w:r>
            <w:r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 xml:space="preserve"> 90%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>
        <w:tblPrEx/>
        <w:trPr>
          <w:trHeight w:val="319" w:hRule="atLeast"/>
        </w:trPr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说明</w:t>
            </w:r>
          </w:p>
        </w:tc>
        <w:tc>
          <w:tcPr>
            <w:tcW w:w="83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请在此处简要说明中央巡视、各级审计和财政监督中发现的问题及其所涉及的金额，如没有请填无。</w:t>
            </w:r>
          </w:p>
        </w:tc>
      </w:tr>
      <w:tr>
        <w:tblPrEx/>
        <w:trPr>
          <w:trHeight w:val="28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注：</w:t>
            </w:r>
            <w:r>
              <w:rPr>
                <w:rStyle w:val="style4099"/>
                <w:color w:val="auto"/>
                <w:highlight w:val="none"/>
                <w:lang w:val="en-US" w:eastAsia="zh-CN"/>
              </w:rPr>
              <w:t>1.其他资金包括和中央补助、地方财政资金共同投入到同一项目的自有资金、社会资金，以及以前年度的结转结余资金等。</w:t>
            </w:r>
          </w:p>
        </w:tc>
      </w:tr>
      <w:tr>
        <w:tblPrEx/>
        <w:trPr>
          <w:trHeight w:val="24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2.资金使用单位按项目绩效目标填报，主管部门汇总时按区域绩效目标填报。</w:t>
            </w:r>
          </w:p>
        </w:tc>
      </w:tr>
      <w:tr>
        <w:tblPrEx/>
        <w:trPr>
          <w:trHeight w:val="100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3.定量指标，资金使用单位填写本地区实际完成数。地方各级主管部门对资金使用单位填写的实际完成值汇总时，绝对值直接累加计算，相对值按照资金额度加权平均计算。</w:t>
            </w:r>
            <w:r>
              <w:rPr>
                <w:rStyle w:val="style4100"/>
                <w:color w:val="auto"/>
                <w:highlight w:val="none"/>
                <w:lang w:val="en-US" w:eastAsia="zh-CN"/>
              </w:rPr>
              <w:t>为便于统计汇总，请注意，填写此表时，请保持绩效指标原有内容，切勿删减或插入行数。根据本地区（本单位）下达的绩效目标填写实际完成情况，部分被评对象的个性化指标或未列出（例如省直单位绩效目标较为个性化、部分地市绩效指标较为个性化），需要增加指标时请在末端省略号处增加绩效指标。</w:t>
            </w:r>
          </w:p>
        </w:tc>
      </w:tr>
      <w:tr>
        <w:tblPrEx/>
        <w:trPr>
          <w:trHeight w:val="560" w:hRule="atLeast"/>
        </w:trPr>
        <w:tc>
          <w:tcPr>
            <w:tcW w:w="8874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style0"/>
              <w:keepNext w:val="false"/>
              <w:keepLines w:val="false"/>
              <w:pageBreakBefore w:val="false"/>
              <w:widowControl/>
              <w:suppressLineNumbers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 w:val="false"/>
              <w:snapToGrid w:val="false"/>
              <w:jc w:val="left"/>
              <w:textAlignment w:val="bottom"/>
              <w:rPr>
                <w:rFonts w:ascii="宋体" w:cs="宋体" w:eastAsia="宋体" w:hAnsi="宋体" w:hint="eastAsia"/>
                <w:i w:val="false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 xml:space="preserve">    4.定性指标，资金使用单位分别按照100%-80%（含）、80%-60%（含）、60-0%合理填写实际完成值，分为全部或基本达成预期指标、部分达成预期指标并具有一定效果、未达成预期指标且效果较差三档；地方各级主管部门汇总时，按照资金额度对结果进行加权平均计算。</w:t>
            </w:r>
          </w:p>
        </w:tc>
      </w:tr>
    </w:tbl>
    <w:p>
      <w:pPr>
        <w:pStyle w:val="style20"/>
        <w:rPr>
          <w:rFonts w:hint="default"/>
          <w:highlight w:val="none"/>
          <w:lang w:val="en-US" w:eastAsia="zh-CN"/>
        </w:rPr>
        <w:sectPr>
          <w:footerReference w:type="default" r:id="rId2"/>
          <w:footerReference w:type="first" r:id="rId3"/>
          <w:pgSz w:w="11906" w:h="16838" w:orient="portrait"/>
          <w:pgMar w:top="1871" w:right="1531" w:bottom="1871" w:left="1531" w:header="851" w:footer="1418" w:gutter="0"/>
          <w:pgNumType w:fmt="decimal" w:start="1"/>
          <w:cols w:space="720" w:num="1"/>
          <w:titlePg/>
          <w:docGrid w:type="linesAndChars" w:linePitch="590" w:charSpace="-1024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宋体"/>
    <w:panose1 w:val="020106000300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Arial Unicode MS"/>
    <w:panose1 w:val="020b06040200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ind w:right="360" w:firstLine="360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2" behindDoc="false" locked="false" layoutInCell="true" allowOverlap="tru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7">
                      <w:txbxContent>
                        <w:p>
                          <w:pPr>
                            <w:pStyle w:val="style32"/>
                            <w:rPr/>
                          </w:pPr>
                          <w:r>
                            <w:t xml:space="preserve">— </w:t>
                          </w:r>
                          <w:r>
                            <w:rPr/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lIns="0" rIns="0" tIns="0" bIns="0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7" filled="f" stroked="f" style="position:absolute;margin-left:0.0pt;margin-top:0.0pt;width:144.0pt;height:144.0pt;z-index:2;mso-position-horizontal:outside;mso-position-horizontal-relative:margin;mso-position-vertical-relative:text;mso-width-relative:page;mso-height-relative:page;mso-wrap-distance-left:0.0pt;mso-wrap-distance-right:0.0pt;visibility:visible;mso-wrap-style:none;">
              <v:stroke on="f" weight="1.25pt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rPr/>
                    </w:pPr>
                    <w:r>
                      <w:t xml:space="preserve">— </w:t>
                    </w:r>
                    <w:r>
                      <w:rPr/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/>
                      <w:fldChar w:fldCharType="separate"/>
                    </w:r>
                    <w:r>
                      <w:t>4</w:t>
                    </w:r>
                    <w:r>
                      <w:rPr/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  <w:r>
      <w:rPr>
        <w:sz w:val="18"/>
      </w:rPr>
      <mc:AlternateContent>
        <mc:Choice Requires="wps">
          <w:drawing>
            <wp:anchor distT="0" distB="0" distL="0" distR="0" simplePos="false" relativeHeight="3" behindDoc="false" locked="false" layoutInCell="true" allowOverlap="tru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1"/>
              <wp:cNvGraphicFramePr>
                <a:graphicFrameLocks xmlns:a="http://schemas.openxmlformats.org/drawingml/2006/main" noChangeAspect="false" noSelect="false" noResize="false" noGrp="false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1828800" cy="1828800"/>
                      </a:xfrm>
                      <a:prstGeom prst="rect"/>
                      <a:ln>
                        <a:noFill/>
                      </a:ln>
                    </wps:spPr>
                    <wps:txbx id="4098">
                      <w:txbxContent>
                        <w:p>
                          <w:pPr>
                            <w:pStyle w:val="style32"/>
                            <w:rPr/>
                          </w:pPr>
                          <w:r>
                            <w:t xml:space="preserve">— </w:t>
                          </w:r>
                          <w:r>
                            <w:rPr/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t>1</w:t>
                          </w:r>
                          <w:r>
                            <w:rPr/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lIns="0" rIns="0" tIns="0" bIns="0" wrap="none" upright="false">
                      <a:prstTxWarp prst="textNoShape"/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4098" filled="f" stroked="f" style="position:absolute;margin-left:0.0pt;margin-top:0.0pt;width:144.0pt;height:144.0pt;z-index:3;mso-position-horizontal:outside;mso-position-horizontal-relative:margin;mso-position-vertical-relative:text;mso-width-relative:page;mso-height-relative:page;mso-wrap-distance-left:0.0pt;mso-wrap-distance-right:0.0pt;visibility:visible;mso-wrap-style:none;">
              <v:stroke on="f" weight="1.25pt"/>
              <v:fill/>
              <v:textbox inset="0.0pt,0.0pt,0.0pt,0.0pt" style="mso-fit-shape-to-text:true;">
                <w:txbxContent>
                  <w:p>
                    <w:pPr>
                      <w:pStyle w:val="style32"/>
                      <w:rPr/>
                    </w:pPr>
                    <w:r>
                      <w:t xml:space="preserve">— </w:t>
                    </w:r>
                    <w:r>
                      <w:rPr/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/>
                      <w:fldChar w:fldCharType="separate"/>
                    </w:r>
                    <w:r>
                      <w:t>1</w:t>
                    </w:r>
                    <w:r>
                      <w:rPr/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2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32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20">
    <w:name w:val="toc 2"/>
    <w:basedOn w:val="style0"/>
    <w:next w:val="style0"/>
    <w:qFormat/>
    <w:uiPriority w:val="0"/>
    <w:pPr>
      <w:ind w:left="420" w:leftChars="200"/>
    </w:pPr>
    <w:rPr/>
  </w:style>
  <w:style w:type="paragraph" w:styleId="style32">
    <w:name w:val="footer"/>
    <w:basedOn w:val="style0"/>
    <w:next w:val="style32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character" w:customStyle="1" w:styleId="style4097">
    <w:name w:val="font41"/>
    <w:basedOn w:val="style65"/>
    <w:next w:val="style4097"/>
    <w:qFormat/>
    <w:uiPriority w:val="0"/>
    <w:rPr>
      <w:rFonts w:ascii="宋体" w:cs="宋体" w:eastAsia="宋体" w:hAnsi="宋体" w:hint="eastAsia"/>
      <w:color w:val="000000"/>
      <w:sz w:val="20"/>
      <w:szCs w:val="20"/>
      <w:u w:val="none"/>
    </w:rPr>
  </w:style>
  <w:style w:type="character" w:customStyle="1" w:styleId="style4098">
    <w:name w:val="font81"/>
    <w:basedOn w:val="style65"/>
    <w:next w:val="style4098"/>
    <w:uiPriority w:val="0"/>
    <w:rPr>
      <w:rFonts w:ascii="宋体" w:cs="宋体" w:eastAsia="宋体" w:hAnsi="宋体" w:hint="eastAsia"/>
      <w:color w:val="ff0000"/>
      <w:sz w:val="20"/>
      <w:szCs w:val="20"/>
      <w:u w:val="none"/>
    </w:rPr>
  </w:style>
  <w:style w:type="character" w:customStyle="1" w:styleId="style4099">
    <w:name w:val="font171"/>
    <w:basedOn w:val="style65"/>
    <w:next w:val="style4099"/>
    <w:qFormat/>
    <w:uiPriority w:val="0"/>
    <w:rPr>
      <w:rFonts w:ascii="宋体" w:cs="宋体" w:eastAsia="宋体" w:hAnsi="宋体" w:hint="eastAsia"/>
      <w:color w:val="000000"/>
      <w:sz w:val="18"/>
      <w:szCs w:val="18"/>
      <w:u w:val="none"/>
    </w:rPr>
  </w:style>
  <w:style w:type="character" w:customStyle="1" w:styleId="style4100">
    <w:name w:val="font141"/>
    <w:basedOn w:val="style65"/>
    <w:next w:val="style4100"/>
    <w:qFormat/>
    <w:uiPriority w:val="0"/>
    <w:rPr>
      <w:rFonts w:ascii="宋体" w:cs="宋体" w:eastAsia="宋体" w:hAnsi="宋体" w:hint="eastAsia"/>
      <w:color w:val="ff0000"/>
      <w:sz w:val="18"/>
      <w:szCs w:val="18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Words>2894</Words>
  <Pages>1</Pages>
  <Characters>3309</Characters>
  <Application>WPS Office</Application>
  <DocSecurity>0</DocSecurity>
  <Paragraphs>199</Paragraphs>
  <ScaleCrop>false</ScaleCrop>
  <LinksUpToDate>false</LinksUpToDate>
  <CharactersWithSpaces>3456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2022-03-14T09:51:00Z</dcterms:created>
  <dc:creator>戏如人生</dc:creator>
  <lastModifiedBy>LYA-AL00</lastModifiedBy>
  <dcterms:modified xsi:type="dcterms:W3CDTF">2022-03-22T03:07:22Z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8cd2a3273b90416aacd8bedd95374286</vt:lpwstr>
  </property>
</Properties>
</file>