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asciiTheme="majorEastAsia" w:hAnsiTheme="majorEastAsia" w:eastAsiaTheme="majorEastAsia" w:cstheme="majorEastAsia"/>
          <w:b/>
          <w:sz w:val="36"/>
          <w:szCs w:val="36"/>
          <w:lang w:val="en-US" w:eastAsia="zh-CN"/>
        </w:rPr>
        <w:t>2022年徐闻县应急管理局“三公”经费决算公开情况说明及表格</w:t>
      </w:r>
    </w:p>
    <w:p>
      <w:pPr>
        <w:ind w:firstLine="643" w:firstLineChars="200"/>
        <w:jc w:val="left"/>
        <w:rPr>
          <w:rFonts w:hint="eastAsia" w:asciiTheme="majorEastAsia" w:hAnsiTheme="majorEastAsia" w:eastAsiaTheme="majorEastAsia" w:cstheme="majorEastAsia"/>
          <w:b/>
          <w:sz w:val="32"/>
          <w:szCs w:val="32"/>
        </w:rPr>
      </w:pP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pPr>
        <w:spacing w:line="480" w:lineRule="auto"/>
        <w:ind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徐闻县应急管理局2022年度“三公”经费财政拨款支出决算为19.56万元，完成全年预算21.79万元的89.8%，比上年决算数增加16.86万元，增长624.6%。其中：因公出国（境）费支出决算为0万元，完成预算0万元的--%（基数为0，不可比），比上年决算数增加0万元，增长--（基数为0，不可比）；公务用车购置及运行维护费支出决算为19.56万元，完成预算20.8万元的94%，比上年决算数增加16.86万元，增长624.6%；其中：公务用车购置支出决算为17.84万元，完成预算18万元的99.1%，比上年决算数增加17.84万元，增长--（基数为0，不可比）；公务用车运行维护费支出决算为1.72万元，完成预算2.8万元的61.5%，比上年决算数减少0.98万元，下降36.2%；公务接待费支出决算为0万元，完成预算0.99万元的0%，比上年决算数增加0万元，增长--（基数为0，不可比）。</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2022年度“三公”经费支出决算小于预算数的主要情况：认真贯彻落实中央八项规定精神和厉行节约的要求，从严控制“三公”经费开支，全年实际支出比预算有所节约。</w:t>
      </w:r>
    </w:p>
    <w:p>
      <w:pPr>
        <w:spacing w:line="480" w:lineRule="auto"/>
        <w:ind w:firstLine="560" w:firstLineChars="20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2022 年度“三公”经费支出决算大于 上年决算数的主要情况：根据工作需要，经报请批准，增加购买车辆。</w:t>
      </w: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（二）“三公”经费财政拨款支出决算具体情况说明</w:t>
      </w:r>
    </w:p>
    <w:p>
      <w:pPr>
        <w:spacing w:line="240" w:lineRule="auto"/>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2022 年度“三公”经费财政拨款支出决算中，因公出国（境）费0万元，占0% ；公务用车购置及运行维护费支出19.56万元，占100% ；公务接待费支出0万元，占0% 。具体情况如下：</w:t>
      </w:r>
    </w:p>
    <w:p>
      <w:pPr>
        <w:spacing w:line="240" w:lineRule="auto"/>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1.因公出国（境）费支出0 万元。全年使用财政拨款安排出国（境）团组0 个、累计0 人次。 </w:t>
      </w:r>
    </w:p>
    <w:p>
      <w:pPr>
        <w:spacing w:line="240" w:lineRule="auto"/>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 xml:space="preserve">2.公务用车购置及运行维护费支出19.56 万元，其中：公务用车购置支出为17.84 万元，公务用车购置数1 辆。公务用车运行维护费支出1.72 万元，公务用车保有量为2 辆，主要用于公务用车油料费、维修费等。 </w:t>
      </w:r>
    </w:p>
    <w:p>
      <w:pPr>
        <w:spacing w:line="240" w:lineRule="auto"/>
        <w:ind w:firstLine="60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3.公务接待费支出0 万元，主要用于2022年度无公务接待费用支出 ，共接待国外、境外来访团组0 个，来访外宾0 人次；发生国内接待0 次，接待人数共0 人。主要是2022年度无公务接待费用支出。</w:t>
      </w:r>
    </w:p>
    <w:p>
      <w:pPr>
        <w:spacing w:line="240" w:lineRule="auto"/>
        <w:ind w:firstLine="600" w:firstLineChars="200"/>
        <w:rPr>
          <w:rFonts w:hint="eastAsia" w:asciiTheme="majorEastAsia" w:hAnsiTheme="majorEastAsia" w:eastAsiaTheme="majorEastAsia" w:cstheme="majorEastAsia"/>
          <w:sz w:val="30"/>
          <w:szCs w:val="30"/>
        </w:rPr>
      </w:pPr>
    </w:p>
    <w:p>
      <w:pPr>
        <w:spacing w:line="240" w:lineRule="auto"/>
        <w:ind w:firstLine="600" w:firstLineChars="200"/>
        <w:rPr>
          <w:rFonts w:hint="eastAsia" w:asciiTheme="majorEastAsia" w:hAnsiTheme="majorEastAsia" w:eastAsiaTheme="majorEastAsia" w:cstheme="majorEastAsia"/>
          <w:sz w:val="30"/>
          <w:szCs w:val="30"/>
        </w:rPr>
      </w:pPr>
    </w:p>
    <w:p>
      <w:pPr>
        <w:spacing w:line="240" w:lineRule="auto"/>
        <w:ind w:firstLine="600" w:firstLineChars="200"/>
        <w:rPr>
          <w:rFonts w:hint="eastAsia" w:asciiTheme="majorEastAsia" w:hAnsiTheme="majorEastAsia" w:eastAsiaTheme="majorEastAsia" w:cstheme="majorEastAsia"/>
          <w:sz w:val="30"/>
          <w:szCs w:val="30"/>
        </w:rPr>
      </w:pPr>
    </w:p>
    <w:p>
      <w:pPr>
        <w:spacing w:line="240" w:lineRule="auto"/>
        <w:rPr>
          <w:rFonts w:hint="eastAsia" w:asciiTheme="majorEastAsia" w:hAnsiTheme="majorEastAsia" w:eastAsiaTheme="majorEastAsia" w:cstheme="majorEastAsia"/>
          <w:sz w:val="30"/>
          <w:szCs w:val="30"/>
        </w:rPr>
      </w:pPr>
    </w:p>
    <w:p>
      <w:pPr>
        <w:spacing w:line="288" w:lineRule="auto"/>
        <w:rPr>
          <w:rFonts w:ascii="宋体" w:hAnsi="宋体" w:cs="宋体"/>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hint="default" w:ascii="宋体" w:hAnsi="宋体" w:eastAsia="宋体" w:cs="宋体"/>
                <w:sz w:val="28"/>
                <w:szCs w:val="28"/>
                <w:lang w:val="en-US" w:eastAsia="zh-CN"/>
              </w:rPr>
            </w:pPr>
            <w:r>
              <w:rPr>
                <w:rFonts w:hint="eastAsia" w:ascii="宋体" w:hAnsi="宋体" w:cs="宋体"/>
                <w:kern w:val="0"/>
                <w:sz w:val="20"/>
                <w:szCs w:val="20"/>
              </w:rPr>
              <w:t>部门：</w:t>
            </w:r>
            <w:r>
              <w:rPr>
                <w:rFonts w:hint="eastAsia" w:ascii="宋体" w:hAnsi="宋体" w:cs="宋体"/>
                <w:kern w:val="0"/>
                <w:sz w:val="20"/>
                <w:szCs w:val="20"/>
                <w:lang w:val="en-US" w:eastAsia="zh-CN"/>
              </w:rPr>
              <w:t>徐闻县应急管理局</w:t>
            </w:r>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1182" w:type="dxa"/>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21.79</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20.8</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18.00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0.99</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19.56</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19.56</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17.84</w:t>
            </w:r>
          </w:p>
        </w:tc>
        <w:tc>
          <w:tcPr>
            <w:tcW w:w="1182" w:type="dxa"/>
            <w:vAlign w:val="center"/>
          </w:tcPr>
          <w:p>
            <w:pPr>
              <w:widowControl/>
              <w:jc w:val="right"/>
              <w:rPr>
                <w:rFonts w:hint="default" w:ascii="宋体" w:hAnsi="宋体" w:eastAsia="宋体" w:cs="宋体"/>
                <w:kern w:val="0"/>
                <w:szCs w:val="21"/>
                <w:lang w:val="en-US" w:eastAsia="zh-CN"/>
              </w:rPr>
            </w:pPr>
            <w:r>
              <w:rPr>
                <w:rFonts w:ascii="宋体" w:hAnsi="宋体" w:cs="宋体"/>
                <w:kern w:val="0"/>
                <w:szCs w:val="21"/>
              </w:rPr>
              <w:t>1.</w:t>
            </w:r>
            <w:r>
              <w:rPr>
                <w:rFonts w:hint="eastAsia" w:ascii="宋体" w:hAnsi="宋体" w:cs="宋体"/>
                <w:kern w:val="0"/>
                <w:szCs w:val="21"/>
                <w:lang w:val="en-US" w:eastAsia="zh-CN"/>
              </w:rPr>
              <w:t>72</w:t>
            </w:r>
            <w:bookmarkStart w:id="0" w:name="_GoBack"/>
            <w:bookmarkEnd w:id="0"/>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rPr>
          <w:rFonts w:hint="eastAsia" w:ascii="仿宋_GB2312" w:hAnsi="仿宋_GB2312" w:eastAsia="仿宋_GB2312" w:cs="仿宋_GB2312"/>
          <w:sz w:val="30"/>
          <w:szCs w:val="30"/>
        </w:rPr>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zdlZjg4ODFmOGQwNTkxYmZjNzFkZjM1NTA3MjkifQ=="/>
  </w:docVars>
  <w:rsids>
    <w:rsidRoot w:val="07B46C8C"/>
    <w:rsid w:val="07B46C8C"/>
    <w:rsid w:val="157F126B"/>
    <w:rsid w:val="48831983"/>
    <w:rsid w:val="4C21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928</Characters>
  <Lines>0</Lines>
  <Paragraphs>0</Paragraphs>
  <TotalTime>0</TotalTime>
  <ScaleCrop>false</ScaleCrop>
  <LinksUpToDate>false</LinksUpToDate>
  <CharactersWithSpaces>1002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南风</cp:lastModifiedBy>
  <dcterms:modified xsi:type="dcterms:W3CDTF">2023-10-13T07:50:58Z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16B4D8E187D847FDB2AF1E0FFE322794_13</vt:lpwstr>
  </property>
</Properties>
</file>