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800"/>
        <w:jc w:val="left"/>
        <w:rPr>
          <w:rFonts w:hint="eastAsia"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2022年徐闻县和安镇人民政府“三公”经费决算</w:t>
      </w:r>
    </w:p>
    <w:p>
      <w:pPr>
        <w:ind w:firstLine="723" w:firstLineChars="200"/>
        <w:jc w:val="left"/>
      </w:pPr>
      <w:r>
        <w:rPr>
          <w:rFonts w:hint="eastAsia" w:asciiTheme="majorEastAsia" w:hAnsiTheme="majorEastAsia" w:eastAsiaTheme="majorEastAsia" w:cstheme="majorEastAsia"/>
          <w:b/>
          <w:sz w:val="36"/>
          <w:szCs w:val="36"/>
          <w:lang w:val="en-US" w:eastAsia="zh-CN"/>
        </w:rPr>
        <w:t xml:space="preserve">                          公开情况说明及表格</w:t>
      </w:r>
    </w:p>
    <w:p>
      <w:pPr>
        <w:ind w:firstLine="643" w:firstLineChars="200"/>
        <w:jc w:val="left"/>
        <w:rPr>
          <w:rFonts w:hint="eastAsia" w:asciiTheme="majorEastAsia" w:hAnsiTheme="majorEastAsia" w:eastAsiaTheme="majorEastAsia" w:cstheme="majorEastAsia"/>
          <w:b/>
          <w:sz w:val="32"/>
          <w:szCs w:val="32"/>
        </w:rPr>
      </w:pP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（一）“三公”经费财政拨款支出决算总体情况说明</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徐闻县和安镇人民政府2022 年度“三公”经费财政拨款支出决算为18.08万元，完成预算20.60万元的1</w:t>
      </w:r>
      <w:r>
        <w:rPr>
          <w:rFonts w:hint="eastAsia" w:asciiTheme="majorEastAsia" w:hAnsiTheme="majorEastAsia" w:eastAsiaTheme="majorEastAsia" w:cstheme="majorEastAsia"/>
          <w:sz w:val="28"/>
          <w:szCs w:val="28"/>
          <w:lang w:val="en-US" w:eastAsia="zh-CN"/>
        </w:rPr>
        <w:t>14% 。其中：因公出国（境）费支出决算为0 万元，完成预算0 万元的0% ；公务用车购置及运行费支出决算为3.85 万元，完成预算5.50万元的1</w:t>
      </w:r>
      <w:r>
        <w:rPr>
          <w:rFonts w:hint="eastAsia" w:asciiTheme="majorEastAsia" w:hAnsiTheme="majorEastAsia" w:eastAsiaTheme="majorEastAsia" w:cstheme="majorEastAsia"/>
          <w:sz w:val="28"/>
          <w:szCs w:val="28"/>
          <w:lang w:val="en-US" w:eastAsia="zh-CN"/>
        </w:rPr>
        <w:t>43% （其中：公务用车购置支出决算为0 万元，完成预算0 万元的0% ；公务用车运行费支出决算为3.85 万元，完成预算5.50万元的1</w:t>
      </w:r>
      <w:r>
        <w:rPr>
          <w:rFonts w:hint="eastAsia" w:asciiTheme="majorEastAsia" w:hAnsiTheme="majorEastAsia" w:eastAsiaTheme="majorEastAsia" w:cstheme="majorEastAsia"/>
          <w:sz w:val="28"/>
          <w:szCs w:val="28"/>
          <w:lang w:val="en-US" w:eastAsia="zh-CN"/>
        </w:rPr>
        <w:t>43% ）；公务接待费支出决算为14.23万元，完成预算15.10万元的</w:t>
      </w:r>
      <w:r>
        <w:rPr>
          <w:rFonts w:hint="eastAsia" w:asciiTheme="majorEastAsia" w:hAnsiTheme="majorEastAsia" w:eastAsiaTheme="majorEastAsia" w:cstheme="majorEastAsia"/>
          <w:sz w:val="28"/>
          <w:szCs w:val="28"/>
          <w:lang w:val="en-US" w:eastAsia="zh-CN"/>
        </w:rPr>
        <w:t>106% 。</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2022 年度“三公”经费支出决算等于 预算数的主要情况：认真贯彻落实中央八项规定精神和厉行节约的要求，从严控制“三公”经费开支，全年实际支出比预算有所节约。 </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（二）“三公”经费财政拨款支出决算具体情况说明</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2022 年“三公”经费财政拨款支出决算中，因公出国（境）费0万元，占0</w:t>
      </w:r>
      <w:r>
        <w:rPr>
          <w:rFonts w:hint="eastAsia" w:asciiTheme="majorEastAsia" w:hAnsiTheme="majorEastAsia" w:eastAsiaTheme="majorEastAsia" w:cstheme="majorEastAsia"/>
          <w:sz w:val="28"/>
          <w:szCs w:val="28"/>
          <w:lang w:val="en-US" w:eastAsia="zh-CN"/>
        </w:rPr>
        <w:t>.0% ；公务用车购置及运行费支出3.85 万元，占</w:t>
      </w:r>
      <w:r>
        <w:rPr>
          <w:rFonts w:hint="eastAsia" w:asciiTheme="majorEastAsia" w:hAnsiTheme="majorEastAsia" w:eastAsiaTheme="majorEastAsia" w:cstheme="majorEastAsia"/>
          <w:sz w:val="28"/>
          <w:szCs w:val="28"/>
          <w:lang w:val="en-US" w:eastAsia="zh-CN"/>
        </w:rPr>
        <w:t>21.29% ；公务接待费支出14.23万元，占</w:t>
      </w:r>
      <w:r>
        <w:rPr>
          <w:rFonts w:hint="eastAsia" w:asciiTheme="majorEastAsia" w:hAnsiTheme="majorEastAsia" w:eastAsiaTheme="majorEastAsia" w:cstheme="majorEastAsia"/>
          <w:sz w:val="28"/>
          <w:szCs w:val="28"/>
          <w:lang w:val="en-US" w:eastAsia="zh-CN"/>
        </w:rPr>
        <w:t>78.71% 。具体情况如下：</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1.因公出国（境）费支出0 万元。全年使用财政拨款安排出国</w:t>
      </w:r>
      <w:r>
        <w:rPr>
          <w:rFonts w:hint="eastAsia" w:asciiTheme="majorEastAsia" w:hAnsiTheme="majorEastAsia" w:eastAsiaTheme="majorEastAsia" w:cstheme="majorEastAsia"/>
          <w:sz w:val="28"/>
          <w:szCs w:val="28"/>
          <w:lang w:val="en-US" w:eastAsia="zh-CN"/>
        </w:rPr>
        <w:t xml:space="preserve">(境)团组0 个、累计0 人次。 </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2.公务用车购置及运行维护费支出3.85万元，其中：公务用车购置支出为0万元，公务用车购置数0 辆。公务用车运行及维护支出3.85 万元， 公务用车保有量为</w:t>
      </w:r>
      <w:r>
        <w:rPr>
          <w:rFonts w:hint="eastAsia" w:asciiTheme="majorEastAsia" w:hAnsiTheme="majorEastAsia" w:eastAsiaTheme="majorEastAsia" w:cstheme="majorEastAsia"/>
          <w:sz w:val="28"/>
          <w:szCs w:val="28"/>
          <w:lang w:val="en-US" w:eastAsia="zh-CN"/>
        </w:rPr>
        <w:t xml:space="preserve">2 辆，主要用于部门日常公务出行。 </w:t>
      </w:r>
    </w:p>
    <w:p>
      <w:pPr>
        <w:spacing w:line="24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3.公务接待费支出14.23 万元，主要用于本年无发生额度 ，共接待国外、境外来访团组0 个，来访外宾0 人次；发生国内接待</w:t>
      </w:r>
      <w:r>
        <w:rPr>
          <w:rFonts w:hint="eastAsia" w:asciiTheme="majorEastAsia" w:hAnsiTheme="majorEastAsia" w:eastAsiaTheme="majorEastAsia" w:cstheme="majorEastAsia"/>
          <w:sz w:val="28"/>
          <w:szCs w:val="28"/>
          <w:lang w:val="en-US" w:eastAsia="zh-CN"/>
        </w:rPr>
        <w:t>255次，接待人数共</w:t>
      </w:r>
      <w:r>
        <w:rPr>
          <w:rFonts w:hint="eastAsia" w:asciiTheme="majorEastAsia" w:hAnsiTheme="majorEastAsia" w:eastAsiaTheme="majorEastAsia" w:cstheme="majorEastAsia"/>
          <w:sz w:val="28"/>
          <w:szCs w:val="28"/>
          <w:lang w:val="en-US" w:eastAsia="zh-CN"/>
        </w:rPr>
        <w:t>980人。主要包括本年无发生额度。</w:t>
      </w:r>
    </w:p>
    <w:p>
      <w:pPr>
        <w:spacing w:line="288" w:lineRule="auto"/>
        <w:rPr>
          <w:rFonts w:ascii="宋体" w:hAnsi="宋体" w:cs="宋体"/>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hint="eastAsia" w:ascii="宋体" w:hAnsi="宋体" w:cs="宋体"/>
                <w:b/>
              </w:rPr>
            </w:pPr>
            <w:r>
              <w:rPr>
                <w:rFonts w:hint="eastAsia" w:ascii="宋体" w:hAnsi="宋体" w:cs="宋体"/>
                <w:b/>
                <w:kern w:val="0"/>
                <w:sz w:val="32"/>
                <w:szCs w:val="32"/>
              </w:rPr>
              <w:t>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pPr>
              <w:spacing w:line="288" w:lineRule="auto"/>
              <w:jc w:val="left"/>
              <w:rPr>
                <w:rFonts w:hint="eastAsia" w:ascii="宋体" w:hAnsi="宋体" w:cs="宋体"/>
                <w:sz w:val="28"/>
                <w:szCs w:val="28"/>
              </w:rPr>
            </w:pPr>
            <w:bookmarkStart w:id="0" w:name="PO_part2DivName9"/>
            <w:r>
              <w:rPr>
                <w:rFonts w:hint="eastAsia" w:ascii="宋体" w:hAnsi="宋体" w:cs="宋体"/>
                <w:kern w:val="0"/>
                <w:sz w:val="20"/>
                <w:szCs w:val="20"/>
              </w:rPr>
              <w:t xml:space="preserve"> 部门 </w:t>
            </w:r>
            <w:bookmarkEnd w:id="0"/>
            <w:r>
              <w:rPr>
                <w:rFonts w:hint="eastAsia" w:ascii="宋体" w:hAnsi="宋体" w:cs="宋体"/>
                <w:kern w:val="0"/>
                <w:sz w:val="20"/>
                <w:szCs w:val="20"/>
              </w:rPr>
              <w:t>：</w:t>
            </w:r>
            <w:bookmarkStart w:id="1" w:name="PO_part2Table9DivName1"/>
            <w:r>
              <w:rPr>
                <w:rFonts w:hint="eastAsia" w:ascii="宋体" w:hAnsi="宋体" w:cs="宋体"/>
                <w:kern w:val="0"/>
                <w:sz w:val="20"/>
                <w:szCs w:val="20"/>
              </w:rPr>
              <w:t xml:space="preserve">徐闻县和安镇人民政府 </w:t>
            </w:r>
            <w:bookmarkEnd w:id="1"/>
          </w:p>
        </w:tc>
        <w:tc>
          <w:tcPr>
            <w:tcW w:w="3535" w:type="dxa"/>
            <w:gridSpan w:val="3"/>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center"/>
          </w:tcPr>
          <w:p>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hint="eastAsia" w:ascii="宋体" w:hAnsi="宋体" w:cs="宋体"/>
                <w:szCs w:val="21"/>
              </w:rPr>
            </w:pPr>
          </w:p>
        </w:tc>
        <w:tc>
          <w:tcPr>
            <w:tcW w:w="1182" w:type="dxa"/>
            <w:vMerge w:val="continue"/>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tcPr>
          <w:p>
            <w:pPr>
              <w:spacing w:line="288" w:lineRule="auto"/>
              <w:rPr>
                <w:rFonts w:hint="eastAsia" w:ascii="宋体" w:hAnsi="宋体" w:cs="宋体"/>
                <w:szCs w:val="21"/>
              </w:rPr>
            </w:pPr>
          </w:p>
        </w:tc>
        <w:tc>
          <w:tcPr>
            <w:tcW w:w="1182" w:type="dxa"/>
            <w:vMerge w:val="continue"/>
          </w:tcPr>
          <w:p>
            <w:pPr>
              <w:spacing w:line="288" w:lineRule="auto"/>
              <w:rPr>
                <w:rFonts w:hint="eastAsia" w:ascii="宋体" w:hAnsi="宋体" w:cs="宋体"/>
                <w:szCs w:val="21"/>
              </w:rPr>
            </w:pPr>
          </w:p>
        </w:tc>
        <w:tc>
          <w:tcPr>
            <w:tcW w:w="1182" w:type="dxa"/>
            <w:vMerge w:val="continue"/>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ascii="宋体" w:hAnsi="宋体" w:cs="宋体"/>
                <w:kern w:val="0"/>
                <w:szCs w:val="21"/>
              </w:rPr>
              <w:t>20.60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center"/>
              <w:rPr>
                <w:rFonts w:hint="eastAsia" w:ascii="宋体" w:hAnsi="宋体" w:cs="宋体"/>
                <w:kern w:val="0"/>
                <w:szCs w:val="21"/>
              </w:rPr>
            </w:pPr>
            <w:r>
              <w:rPr>
                <w:rFonts w:ascii="宋体" w:hAnsi="宋体" w:cs="宋体"/>
                <w:kern w:val="0"/>
                <w:szCs w:val="21"/>
              </w:rPr>
              <w:t>5.50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center"/>
              <w:rPr>
                <w:rFonts w:hint="eastAsia" w:ascii="宋体" w:hAnsi="宋体" w:cs="宋体"/>
                <w:kern w:val="0"/>
                <w:szCs w:val="21"/>
              </w:rPr>
            </w:pPr>
            <w:r>
              <w:rPr>
                <w:rFonts w:ascii="宋体" w:hAnsi="宋体" w:cs="宋体"/>
                <w:kern w:val="0"/>
                <w:szCs w:val="21"/>
              </w:rPr>
              <w:t>5.50</w:t>
            </w:r>
          </w:p>
        </w:tc>
        <w:tc>
          <w:tcPr>
            <w:tcW w:w="1182" w:type="dxa"/>
            <w:vAlign w:val="center"/>
          </w:tcPr>
          <w:p>
            <w:pPr>
              <w:widowControl/>
              <w:jc w:val="center"/>
              <w:rPr>
                <w:rFonts w:hint="eastAsia" w:ascii="宋体" w:hAnsi="宋体" w:cs="宋体"/>
                <w:kern w:val="0"/>
                <w:szCs w:val="21"/>
              </w:rPr>
            </w:pPr>
            <w:r>
              <w:rPr>
                <w:rFonts w:ascii="宋体" w:hAnsi="宋体" w:cs="宋体"/>
                <w:kern w:val="0"/>
                <w:szCs w:val="21"/>
              </w:rPr>
              <w:t>15.10</w:t>
            </w:r>
          </w:p>
        </w:tc>
        <w:tc>
          <w:tcPr>
            <w:tcW w:w="1182" w:type="dxa"/>
            <w:vAlign w:val="center"/>
          </w:tcPr>
          <w:p>
            <w:pPr>
              <w:widowControl/>
              <w:jc w:val="center"/>
              <w:rPr>
                <w:rFonts w:hint="eastAsia" w:ascii="宋体" w:hAnsi="宋体" w:cs="宋体"/>
                <w:kern w:val="0"/>
                <w:szCs w:val="21"/>
              </w:rPr>
            </w:pPr>
            <w:r>
              <w:rPr>
                <w:rFonts w:ascii="宋体" w:hAnsi="宋体" w:cs="宋体"/>
                <w:kern w:val="0"/>
                <w:szCs w:val="21"/>
              </w:rPr>
              <w:t>18.08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0.</w:t>
            </w:r>
            <w:bookmarkStart w:id="2" w:name="_GoBack"/>
            <w:bookmarkEnd w:id="2"/>
            <w:r>
              <w:rPr>
                <w:rFonts w:hint="eastAsia" w:ascii="宋体" w:hAnsi="宋体" w:cs="宋体"/>
                <w:kern w:val="0"/>
                <w:szCs w:val="21"/>
              </w:rPr>
              <w:t>00</w:t>
            </w:r>
          </w:p>
        </w:tc>
        <w:tc>
          <w:tcPr>
            <w:tcW w:w="1182" w:type="dxa"/>
            <w:vAlign w:val="center"/>
          </w:tcPr>
          <w:p>
            <w:pPr>
              <w:widowControl/>
              <w:jc w:val="center"/>
              <w:rPr>
                <w:rFonts w:hint="eastAsia" w:ascii="宋体" w:hAnsi="宋体" w:cs="宋体"/>
                <w:kern w:val="0"/>
                <w:szCs w:val="21"/>
              </w:rPr>
            </w:pPr>
            <w:r>
              <w:rPr>
                <w:rFonts w:ascii="宋体" w:hAnsi="宋体" w:cs="宋体"/>
                <w:kern w:val="0"/>
                <w:szCs w:val="21"/>
              </w:rPr>
              <w:t>3.85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center"/>
              <w:rPr>
                <w:rFonts w:hint="eastAsia" w:ascii="宋体" w:hAnsi="宋体" w:cs="宋体"/>
                <w:kern w:val="0"/>
                <w:szCs w:val="21"/>
              </w:rPr>
            </w:pPr>
            <w:r>
              <w:rPr>
                <w:rFonts w:ascii="宋体" w:hAnsi="宋体" w:cs="宋体"/>
                <w:kern w:val="0"/>
                <w:szCs w:val="21"/>
              </w:rPr>
              <w:t>3.85</w:t>
            </w:r>
          </w:p>
        </w:tc>
        <w:tc>
          <w:tcPr>
            <w:tcW w:w="1171" w:type="dxa"/>
            <w:vAlign w:val="center"/>
          </w:tcPr>
          <w:p>
            <w:pPr>
              <w:widowControl/>
              <w:jc w:val="center"/>
              <w:rPr>
                <w:rFonts w:hint="eastAsia" w:ascii="宋体" w:hAnsi="宋体" w:cs="宋体"/>
                <w:kern w:val="0"/>
                <w:szCs w:val="21"/>
              </w:rPr>
            </w:pPr>
            <w:r>
              <w:rPr>
                <w:rFonts w:ascii="宋体" w:hAnsi="宋体" w:cs="宋体"/>
                <w:kern w:val="0"/>
                <w:szCs w:val="21"/>
              </w:rPr>
              <w:t>14.23</w:t>
            </w:r>
          </w:p>
        </w:tc>
      </w:tr>
    </w:tbl>
    <w:p>
      <w:pPr>
        <w:spacing w:line="288" w:lineRule="auto"/>
        <w:rPr>
          <w:rFonts w:hint="eastAsia" w:ascii="宋体" w:hAnsi="宋体" w:cs="宋体"/>
          <w:szCs w:val="21"/>
        </w:rPr>
      </w:pPr>
    </w:p>
    <w:p>
      <w:pPr>
        <w:spacing w:line="288" w:lineRule="auto"/>
        <w:rPr>
          <w:rFonts w:hint="eastAsia" w:ascii="仿宋_GB2312" w:hAnsi="仿宋_GB2312" w:eastAsia="仿宋_GB2312" w:cs="仿宋_GB2312"/>
          <w:sz w:val="30"/>
          <w:szCs w:val="30"/>
        </w:rPr>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jI0ZmY4NGU3YjM2OGIzMzRkYjA4YTIwMzM4NDQifQ=="/>
  </w:docVars>
  <w:rsids>
    <w:rsidRoot w:val="07B46C8C"/>
    <w:rsid w:val="07B46C8C"/>
    <w:rsid w:val="39541A9F"/>
    <w:rsid w:val="4C21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928</Characters>
  <Lines>0</Lines>
  <Paragraphs>0</Paragraphs>
  <TotalTime>0</TotalTime>
  <ScaleCrop>false</ScaleCrop>
  <LinksUpToDate>false</LinksUpToDate>
  <CharactersWithSpaces>1002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2023-10-10T02:11:00Z</dcterms:created>
  <dc:creator>Administrator</dc:creator>
  <cp:lastModifiedBy>AAA幸运女神新品招商中</cp:lastModifiedBy>
  <dcterms:modified xsi:type="dcterms:W3CDTF">2023-10-12T09:06:26Z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BDB8C531FFC74A6D90125997AE39C55E_13</vt:lpwstr>
  </property>
</Properties>
</file>