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jc w:val="left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2022年徐闻县龙塘镇人民政府“三公”经费决算</w:t>
      </w:r>
    </w:p>
    <w:p>
      <w:pPr>
        <w:ind w:firstLine="723" w:firstLineChars="200"/>
        <w:jc w:val="left"/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 xml:space="preserve">                          公开情况说明及表格</w:t>
      </w:r>
    </w:p>
    <w:p>
      <w:pPr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>
      <w:pPr>
        <w:spacing w:line="480" w:lineRule="auto"/>
        <w:ind w:firstLine="562" w:firstLineChars="200"/>
        <w:jc w:val="left"/>
        <w:rPr>
          <w:rFonts w:hint="eastAsia"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（一）“三公”经费财政拨款支出决算总体情况说明</w:t>
      </w:r>
    </w:p>
    <w:p>
      <w:pPr>
        <w:spacing w:line="480" w:lineRule="auto"/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bookmarkStart w:id="0" w:name="PO_part3A3B1C1DivNameYear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徐闻县龙塘镇人民政府2022 </w:t>
      </w:r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年度“三公”经费财政拨款支出决算为</w:t>
      </w:r>
      <w:bookmarkStart w:id="1" w:name="PO_part3A3B1C1Amount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26.72 </w:t>
      </w:r>
      <w:bookmarkEnd w:id="1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万元，完成全年预算</w:t>
      </w:r>
      <w:bookmarkStart w:id="2" w:name="PO_part3A3B1C1Amount2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26.73 </w:t>
      </w:r>
      <w:bookmarkEnd w:id="2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万元的</w:t>
      </w:r>
      <w:bookmarkStart w:id="3" w:name="PO_part3A3B1C1Percent1"/>
      <w:r>
        <w:rPr>
          <w:rFonts w:hint="eastAsia" w:asciiTheme="majorEastAsia" w:hAnsiTheme="majorEastAsia" w:eastAsiaTheme="majorEastAsia" w:cstheme="majorEastAsia"/>
          <w:sz w:val="28"/>
          <w:szCs w:val="28"/>
        </w:rPr>
        <w:t>100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.0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% </w:t>
      </w:r>
      <w:bookmarkEnd w:id="3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，比上年决算数</w:t>
      </w:r>
      <w:bookmarkStart w:id="4" w:name="PO_part3A3B1C1IncAmount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增加0 </w:t>
      </w:r>
      <w:bookmarkEnd w:id="4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万元，</w:t>
      </w:r>
      <w:bookmarkStart w:id="5" w:name="PO_part3A3B1C1IncPercent1"/>
      <w:r>
        <w:rPr>
          <w:rFonts w:hint="eastAsia" w:asciiTheme="majorEastAsia" w:hAnsiTheme="majorEastAsia" w:eastAsiaTheme="majorEastAsia" w:cstheme="majorEastAsia"/>
          <w:sz w:val="28"/>
          <w:szCs w:val="28"/>
        </w:rPr>
        <w:t>增长0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.0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% </w:t>
      </w:r>
      <w:bookmarkEnd w:id="5"/>
      <w:r>
        <w:rPr>
          <w:rFonts w:hint="eastAsia" w:asciiTheme="majorEastAsia" w:hAnsiTheme="majorEastAsia" w:eastAsiaTheme="majorEastAsia" w:cstheme="majorEastAsia"/>
          <w:sz w:val="28"/>
          <w:szCs w:val="28"/>
        </w:rPr>
        <w:t>。其中：因公出国（境）费支出决算为</w:t>
      </w:r>
      <w:bookmarkStart w:id="6" w:name="PO_part3A3B1C1qzAmount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0 </w:t>
      </w:r>
      <w:bookmarkEnd w:id="6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万元，完成预算</w:t>
      </w:r>
      <w:bookmarkStart w:id="7" w:name="PO_part3A3B1C1qzysAmount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0 </w:t>
      </w:r>
      <w:bookmarkEnd w:id="7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万元的</w:t>
      </w:r>
      <w:bookmarkStart w:id="8" w:name="PO_part3A3B1C1qzPercent1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0.0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% </w:t>
      </w:r>
      <w:bookmarkEnd w:id="8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，比上年决算数</w:t>
      </w:r>
      <w:bookmarkStart w:id="9" w:name="PO_part3A3B1C1IncAmount2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增加0 </w:t>
      </w:r>
      <w:bookmarkEnd w:id="9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万元，</w:t>
      </w:r>
      <w:bookmarkStart w:id="10" w:name="PO_part3A3B1C1IncPercent2"/>
      <w:r>
        <w:rPr>
          <w:rFonts w:hint="eastAsia" w:asciiTheme="majorEastAsia" w:hAnsiTheme="majorEastAsia" w:eastAsiaTheme="majorEastAsia" w:cstheme="majorEastAsia"/>
          <w:sz w:val="28"/>
          <w:szCs w:val="28"/>
        </w:rPr>
        <w:t>增长0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.0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% </w:t>
      </w:r>
      <w:bookmarkEnd w:id="10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；公务用车购置及运行维护费支出决算为</w:t>
      </w:r>
      <w:bookmarkStart w:id="11" w:name="PO_part3A3B1C1qzAmount2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8.82 </w:t>
      </w:r>
      <w:bookmarkEnd w:id="11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万元，完成预算</w:t>
      </w:r>
      <w:bookmarkStart w:id="12" w:name="PO_part3A3B1C1qzysAmount2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8.83 </w:t>
      </w:r>
      <w:bookmarkEnd w:id="12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万元的</w:t>
      </w:r>
      <w:bookmarkStart w:id="13" w:name="PO_part3A3B1C1qzPercent2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99.9% </w:t>
      </w:r>
      <w:bookmarkEnd w:id="13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，比上年决算数</w:t>
      </w:r>
      <w:bookmarkStart w:id="14" w:name="PO_part3A3B1C1IncAmount3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增加0 </w:t>
      </w:r>
      <w:bookmarkEnd w:id="14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万元，</w:t>
      </w:r>
      <w:bookmarkStart w:id="15" w:name="PO_part3A3B1C1IncPercent3"/>
      <w:r>
        <w:rPr>
          <w:rFonts w:hint="eastAsia" w:asciiTheme="majorEastAsia" w:hAnsiTheme="majorEastAsia" w:eastAsiaTheme="majorEastAsia" w:cstheme="majorEastAsia"/>
          <w:sz w:val="28"/>
          <w:szCs w:val="28"/>
        </w:rPr>
        <w:t>增长0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.0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% </w:t>
      </w:r>
      <w:bookmarkEnd w:id="15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；其中：公务用车购置支出决算为</w:t>
      </w:r>
      <w:bookmarkStart w:id="16" w:name="PO_part3A3B1C1qzAmount4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0 </w:t>
      </w:r>
      <w:bookmarkEnd w:id="16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万元，完成预算</w:t>
      </w:r>
      <w:bookmarkStart w:id="17" w:name="PO_part3A3B1C1qzysAmount4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0 </w:t>
      </w:r>
      <w:bookmarkEnd w:id="17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万元的</w:t>
      </w:r>
      <w:bookmarkStart w:id="18" w:name="PO_part3A3B1C1qzPercent4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0.0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% </w:t>
      </w:r>
      <w:bookmarkEnd w:id="18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，比上年决算数</w:t>
      </w:r>
      <w:bookmarkStart w:id="19" w:name="PO_part3A3B1C1IncAmount4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增加0 </w:t>
      </w:r>
      <w:bookmarkEnd w:id="19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万元，</w:t>
      </w:r>
      <w:bookmarkStart w:id="20" w:name="PO_part3A3B1C1IncPercent4"/>
      <w:r>
        <w:rPr>
          <w:rFonts w:hint="eastAsia" w:asciiTheme="majorEastAsia" w:hAnsiTheme="majorEastAsia" w:eastAsiaTheme="majorEastAsia" w:cstheme="majorEastAsia"/>
          <w:sz w:val="28"/>
          <w:szCs w:val="28"/>
        </w:rPr>
        <w:t>增长0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.0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% </w:t>
      </w:r>
      <w:bookmarkEnd w:id="20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；公务用车运行维护费支出决算为</w:t>
      </w:r>
      <w:bookmarkStart w:id="21" w:name="PO_part3A3B1C1qzAmount5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8.82 </w:t>
      </w:r>
      <w:bookmarkEnd w:id="21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万元，完成预算</w:t>
      </w:r>
      <w:bookmarkStart w:id="22" w:name="PO_part3A3B1C1qzysAmount5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8.83 </w:t>
      </w:r>
      <w:bookmarkEnd w:id="22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万元的</w:t>
      </w:r>
      <w:bookmarkStart w:id="23" w:name="PO_part3A3B1C1qzPercent5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99.9% </w:t>
      </w:r>
      <w:bookmarkEnd w:id="23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，比上年决算数</w:t>
      </w:r>
      <w:bookmarkStart w:id="24" w:name="PO_part3A3B1C1IncAmount5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增加0 </w:t>
      </w:r>
      <w:bookmarkEnd w:id="24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万元，</w:t>
      </w:r>
      <w:bookmarkStart w:id="25" w:name="PO_part3A3B1C1IncPercent5"/>
      <w:r>
        <w:rPr>
          <w:rFonts w:hint="eastAsia" w:asciiTheme="majorEastAsia" w:hAnsiTheme="majorEastAsia" w:eastAsiaTheme="majorEastAsia" w:cstheme="majorEastAsia"/>
          <w:sz w:val="28"/>
          <w:szCs w:val="28"/>
        </w:rPr>
        <w:t>增长0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.0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% </w:t>
      </w:r>
      <w:bookmarkEnd w:id="25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；公务接待费支出决算为</w:t>
      </w:r>
      <w:bookmarkStart w:id="26" w:name="PO_part3A3B1C1qzAmount3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17.9 </w:t>
      </w:r>
      <w:bookmarkEnd w:id="26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万元，完成预算</w:t>
      </w:r>
      <w:bookmarkStart w:id="27" w:name="PO_part3A3B1C1qzysAmount3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17.9 </w:t>
      </w:r>
      <w:bookmarkEnd w:id="27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万元的</w:t>
      </w:r>
      <w:bookmarkStart w:id="28" w:name="PO_part3A3B1C1qzPercent3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100% </w:t>
      </w:r>
      <w:bookmarkEnd w:id="28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，比上年决算数</w:t>
      </w:r>
      <w:bookmarkStart w:id="29" w:name="PO_part3A3B1C1IncAmount6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增加0 </w:t>
      </w:r>
      <w:bookmarkEnd w:id="29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万元，</w:t>
      </w:r>
      <w:bookmarkStart w:id="30" w:name="PO_part3A3B1C1IncPercent6"/>
      <w:r>
        <w:rPr>
          <w:rFonts w:hint="eastAsia" w:asciiTheme="majorEastAsia" w:hAnsiTheme="majorEastAsia" w:eastAsiaTheme="majorEastAsia" w:cstheme="majorEastAsia"/>
          <w:sz w:val="28"/>
          <w:szCs w:val="28"/>
        </w:rPr>
        <w:t>增长0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.0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%。 </w:t>
      </w:r>
      <w:bookmarkEnd w:id="30"/>
    </w:p>
    <w:p>
      <w:pPr>
        <w:spacing w:line="480" w:lineRule="auto"/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31" w:name="PO_part3A3B1C1Year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2022 </w:t>
      </w:r>
      <w:bookmarkEnd w:id="31"/>
      <w:r>
        <w:rPr>
          <w:rFonts w:hint="eastAsia" w:asciiTheme="majorEastAsia" w:hAnsiTheme="majorEastAsia" w:eastAsiaTheme="majorEastAsia" w:cstheme="majorEastAsia"/>
          <w:sz w:val="28"/>
          <w:szCs w:val="28"/>
        </w:rPr>
        <w:t>年度“三公”经费支出决算</w:t>
      </w:r>
      <w:bookmarkStart w:id="32" w:name="PO_part3A3B1C1Diff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小于 </w:t>
      </w:r>
      <w:bookmarkEnd w:id="32"/>
      <w:r>
        <w:rPr>
          <w:rFonts w:hint="eastAsia" w:asciiTheme="majorEastAsia" w:hAnsiTheme="majorEastAsia" w:eastAsiaTheme="majorEastAsia" w:cstheme="majorEastAsia"/>
          <w:sz w:val="28"/>
          <w:szCs w:val="28"/>
        </w:rPr>
        <w:t>预算数的主要情况：</w:t>
      </w:r>
      <w:bookmarkStart w:id="33" w:name="PO_part3A3B1C1DiffReason1"/>
      <w:r>
        <w:rPr>
          <w:rFonts w:hint="eastAsia" w:asciiTheme="majorEastAsia" w:hAnsiTheme="majorEastAsia" w:eastAsiaTheme="majorEastAsia" w:cstheme="majorEastAsia"/>
          <w:sz w:val="28"/>
          <w:szCs w:val="28"/>
        </w:rPr>
        <w:t>认真贯彻落实中央八项规定精神和厉行节约的要求，从严控制“三公”经费开支，全年实际支出比预算有所节约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bookmarkEnd w:id="33"/>
    </w:p>
    <w:p>
      <w:pPr>
        <w:spacing w:line="480" w:lineRule="auto"/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34" w:name="PO_part3A3B1C1Year2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2022 </w:t>
      </w:r>
      <w:bookmarkEnd w:id="34"/>
      <w:r>
        <w:rPr>
          <w:rFonts w:hint="eastAsia" w:asciiTheme="majorEastAsia" w:hAnsiTheme="majorEastAsia" w:eastAsiaTheme="majorEastAsia" w:cstheme="majorEastAsia"/>
          <w:sz w:val="28"/>
          <w:szCs w:val="28"/>
        </w:rPr>
        <w:t>年度“三公”经费支出决算</w:t>
      </w:r>
      <w:bookmarkStart w:id="35" w:name="PO_part3A3B1C1Diff2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等于 </w:t>
      </w:r>
      <w:bookmarkEnd w:id="35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上年决算数的主要情况：</w:t>
      </w:r>
      <w:bookmarkStart w:id="36" w:name="PO_part3A3B1C1DiffReason2"/>
      <w:r>
        <w:rPr>
          <w:rFonts w:hint="eastAsia" w:asciiTheme="majorEastAsia" w:hAnsiTheme="majorEastAsia" w:eastAsiaTheme="majorEastAsia" w:cstheme="majorEastAsia"/>
          <w:sz w:val="28"/>
          <w:szCs w:val="28"/>
        </w:rPr>
        <w:t>认真贯彻落实中央八项规定精神和厉行节约的要求，从严控制“三公”经费开支，全年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支出决算数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与上年决算数持平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bookmarkEnd w:id="36"/>
    </w:p>
    <w:p>
      <w:pPr>
        <w:spacing w:line="480" w:lineRule="auto"/>
        <w:ind w:firstLine="562" w:firstLineChars="200"/>
        <w:jc w:val="left"/>
        <w:rPr>
          <w:rFonts w:hint="eastAsia"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（二）“三公”经费财政拨款支出决算具体情况说明</w:t>
      </w:r>
    </w:p>
    <w:p>
      <w:pPr>
        <w:spacing w:line="288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37" w:name="PO_part3A3B2Year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2022 </w:t>
      </w:r>
      <w:bookmarkEnd w:id="37"/>
      <w:r>
        <w:rPr>
          <w:rFonts w:hint="eastAsia" w:asciiTheme="majorEastAsia" w:hAnsiTheme="majorEastAsia" w:eastAsiaTheme="majorEastAsia" w:cstheme="majorEastAsia"/>
          <w:sz w:val="28"/>
          <w:szCs w:val="28"/>
        </w:rPr>
        <w:t>年度“三公”经费财政拨款支出决算中，因公出国（境）费</w:t>
      </w:r>
      <w:bookmarkStart w:id="38" w:name="PO_part3A3B2Amount1"/>
      <w:r>
        <w:rPr>
          <w:rFonts w:hint="eastAsia" w:asciiTheme="majorEastAsia" w:hAnsiTheme="majorEastAsia" w:eastAsiaTheme="majorEastAsia" w:cstheme="majorEastAsia"/>
          <w:sz w:val="28"/>
          <w:szCs w:val="28"/>
        </w:rPr>
        <w:t>0万元，占0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.0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% </w:t>
      </w:r>
      <w:bookmarkEnd w:id="38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；公务用车购置及运行维护费支出</w:t>
      </w:r>
      <w:bookmarkStart w:id="39" w:name="PO_part3A3B2Amount2"/>
      <w:r>
        <w:rPr>
          <w:rFonts w:hint="eastAsia" w:asciiTheme="majorEastAsia" w:hAnsiTheme="majorEastAsia" w:eastAsiaTheme="majorEastAsia" w:cstheme="majorEastAsia"/>
          <w:sz w:val="28"/>
          <w:szCs w:val="28"/>
        </w:rPr>
        <w:t>8.82万元，占33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.0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% </w:t>
      </w:r>
      <w:bookmarkEnd w:id="39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；公务接待费支出</w:t>
      </w:r>
      <w:bookmarkStart w:id="40" w:name="PO_part3A3B2Amount3"/>
      <w:r>
        <w:rPr>
          <w:rFonts w:hint="eastAsia" w:asciiTheme="majorEastAsia" w:hAnsiTheme="majorEastAsia" w:eastAsiaTheme="majorEastAsia" w:cstheme="majorEastAsia"/>
          <w:sz w:val="28"/>
          <w:szCs w:val="28"/>
        </w:rPr>
        <w:t>17.9万元，占67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.0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% </w:t>
      </w:r>
      <w:bookmarkEnd w:id="40"/>
      <w:r>
        <w:rPr>
          <w:rFonts w:hint="eastAsia" w:asciiTheme="majorEastAsia" w:hAnsiTheme="majorEastAsia" w:eastAsiaTheme="majorEastAsia" w:cstheme="majorEastAsia"/>
          <w:sz w:val="28"/>
          <w:szCs w:val="28"/>
        </w:rPr>
        <w:t>。具体情况如下：</w:t>
      </w:r>
    </w:p>
    <w:p>
      <w:pPr>
        <w:spacing w:line="288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1.因公出国（境）费支出</w:t>
      </w:r>
      <w:bookmarkStart w:id="41" w:name="PO_part3A3B2C1Amount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0 </w:t>
      </w:r>
      <w:bookmarkEnd w:id="41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万元。全年使用财政拨款安排出国（境）团组</w:t>
      </w:r>
      <w:bookmarkStart w:id="42" w:name="PO_part3A3B2C1JgcgCount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0 </w:t>
      </w:r>
      <w:bookmarkEnd w:id="42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个、累计</w:t>
      </w:r>
      <w:bookmarkStart w:id="43" w:name="PO_part3A3B2C1JgcgManCount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0 </w:t>
      </w:r>
      <w:bookmarkEnd w:id="43"/>
      <w:r>
        <w:rPr>
          <w:rFonts w:hint="eastAsia" w:asciiTheme="majorEastAsia" w:hAnsiTheme="majorEastAsia" w:eastAsiaTheme="majorEastAsia" w:cstheme="majorEastAsia"/>
          <w:sz w:val="28"/>
          <w:szCs w:val="28"/>
        </w:rPr>
        <w:t>人次</w:t>
      </w:r>
      <w:bookmarkStart w:id="44" w:name="PO_part3A3B2C1D1Meeting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。 </w:t>
      </w:r>
      <w:bookmarkEnd w:id="44"/>
    </w:p>
    <w:p>
      <w:pPr>
        <w:spacing w:line="288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2.公务用车购置及运行维护费支出</w:t>
      </w:r>
      <w:bookmarkStart w:id="45" w:name="PO_part3A3B2C2Amount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8.82 </w:t>
      </w:r>
      <w:bookmarkEnd w:id="45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万元，其中：公务用车购置支出为</w:t>
      </w:r>
      <w:bookmarkStart w:id="46" w:name="PO_part3A3B2C2D1Amount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0 </w:t>
      </w:r>
      <w:bookmarkEnd w:id="46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万元，公务用车购置数</w:t>
      </w:r>
      <w:bookmarkStart w:id="47" w:name="PO_part3A3B2C2D1CarCount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0 </w:t>
      </w:r>
      <w:bookmarkEnd w:id="47"/>
      <w:r>
        <w:rPr>
          <w:rFonts w:hint="eastAsia" w:asciiTheme="majorEastAsia" w:hAnsiTheme="majorEastAsia" w:eastAsiaTheme="majorEastAsia" w:cstheme="majorEastAsia"/>
          <w:sz w:val="28"/>
          <w:szCs w:val="28"/>
        </w:rPr>
        <w:t>辆。公务用车运行维护费支出</w:t>
      </w:r>
      <w:bookmarkStart w:id="48" w:name="PO_part3A3B2C2D2Amount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8.82 </w:t>
      </w:r>
      <w:bookmarkEnd w:id="48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万元，公务用车保有量为</w:t>
      </w:r>
      <w:bookmarkStart w:id="49" w:name="PO_part3A3B2C2D2CarCount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2 </w:t>
      </w:r>
      <w:bookmarkEnd w:id="49"/>
      <w:r>
        <w:rPr>
          <w:rFonts w:hint="eastAsia" w:asciiTheme="majorEastAsia" w:hAnsiTheme="majorEastAsia" w:eastAsiaTheme="majorEastAsia" w:cstheme="majorEastAsia"/>
          <w:sz w:val="28"/>
          <w:szCs w:val="28"/>
        </w:rPr>
        <w:t>辆，主要用于</w:t>
      </w:r>
      <w:bookmarkStart w:id="50" w:name="PO_part3A3B2C2D2Use1"/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开展辖区内公务活动及联系上级部门公务活动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。 </w:t>
      </w:r>
      <w:bookmarkEnd w:id="50"/>
    </w:p>
    <w:p>
      <w:pPr>
        <w:spacing w:line="288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3.公务接待费支出</w:t>
      </w:r>
      <w:bookmarkStart w:id="51" w:name="PO_part3A3B2C3Amount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17.9 </w:t>
      </w:r>
      <w:bookmarkEnd w:id="51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万元，主要用于</w:t>
      </w:r>
      <w:bookmarkStart w:id="52" w:name="PO_part3A3B2C3Detail1"/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到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本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部门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指导检查工作的县机关部门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各兄弟乡镇单位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市县相关部门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等公务接待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bookmarkEnd w:id="52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，共接待国外、境外来访团组</w:t>
      </w:r>
      <w:bookmarkStart w:id="53" w:name="PO_part3A3B2C3LfztCount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0 </w:t>
      </w:r>
      <w:bookmarkEnd w:id="53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个，来访外宾</w:t>
      </w:r>
      <w:bookmarkStart w:id="54" w:name="PO_part3A3B2C3LfwbCount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0 </w:t>
      </w:r>
      <w:bookmarkEnd w:id="54"/>
      <w:r>
        <w:rPr>
          <w:rFonts w:hint="eastAsia" w:asciiTheme="majorEastAsia" w:hAnsiTheme="majorEastAsia" w:eastAsiaTheme="majorEastAsia" w:cstheme="majorEastAsia"/>
          <w:sz w:val="28"/>
          <w:szCs w:val="28"/>
        </w:rPr>
        <w:t>人次；发生国内接待</w:t>
      </w:r>
      <w:bookmarkStart w:id="55" w:name="PO_part3A3B2C3GnjdCount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731 </w:t>
      </w:r>
      <w:bookmarkEnd w:id="55"/>
      <w:r>
        <w:rPr>
          <w:rFonts w:hint="eastAsia" w:asciiTheme="majorEastAsia" w:hAnsiTheme="majorEastAsia" w:eastAsiaTheme="majorEastAsia" w:cstheme="majorEastAsia"/>
          <w:sz w:val="28"/>
          <w:szCs w:val="28"/>
        </w:rPr>
        <w:t>次，接待人数共</w:t>
      </w:r>
      <w:bookmarkStart w:id="56" w:name="PO_part3A3B2C3GnjdManCount1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3,653 </w:t>
      </w:r>
      <w:bookmarkEnd w:id="56"/>
      <w:r>
        <w:rPr>
          <w:rFonts w:hint="eastAsia" w:asciiTheme="majorEastAsia" w:hAnsiTheme="majorEastAsia" w:eastAsiaTheme="majorEastAsia" w:cstheme="majorEastAsia"/>
          <w:sz w:val="28"/>
          <w:szCs w:val="28"/>
        </w:rPr>
        <w:t>人。</w:t>
      </w:r>
      <w:bookmarkStart w:id="57" w:name="PO_part3A3B2C3GnjdInclude1"/>
      <w:r>
        <w:rPr>
          <w:rFonts w:hint="eastAsia" w:asciiTheme="majorEastAsia" w:hAnsiTheme="majorEastAsia" w:eastAsiaTheme="majorEastAsia" w:cstheme="majorEastAsia"/>
          <w:sz w:val="28"/>
          <w:szCs w:val="28"/>
        </w:rPr>
        <w:t>主要包括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到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本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部门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指导检查工作的县机关部门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各兄弟乡镇单位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市县相关部门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等单位人员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。 </w:t>
      </w:r>
      <w:bookmarkEnd w:id="57"/>
    </w:p>
    <w:p>
      <w:pPr>
        <w:spacing w:line="288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288" w:lineRule="auto"/>
        <w:rPr>
          <w:rFonts w:ascii="宋体" w:hAnsi="宋体" w:cs="宋体"/>
        </w:rPr>
      </w:pPr>
    </w:p>
    <w:p>
      <w:pPr>
        <w:spacing w:line="288" w:lineRule="auto"/>
        <w:rPr>
          <w:rFonts w:ascii="宋体" w:hAnsi="宋体" w:cs="宋体"/>
        </w:rPr>
      </w:pPr>
      <w:bookmarkStart w:id="61" w:name="_GoBack"/>
      <w:bookmarkEnd w:id="61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58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 </w:t>
            </w:r>
            <w:bookmarkEnd w:id="58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59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徐闻县龙塘镇人民政府 </w:t>
            </w:r>
            <w:bookmarkEnd w:id="59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26.73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8.83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8.83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17.90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26.72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8.82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8.82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17.90</w:t>
            </w:r>
          </w:p>
        </w:tc>
      </w:tr>
    </w:tbl>
    <w:p>
      <w:pPr>
        <w:ind w:firstLine="840" w:firstLineChars="400"/>
      </w:pPr>
      <w:r>
        <w:rPr>
          <w:rFonts w:hint="eastAsia" w:ascii="宋体" w:hAnsi="宋体" w:cs="宋体"/>
          <w:szCs w:val="21"/>
        </w:rPr>
        <w:t>注：</w:t>
      </w:r>
      <w:bookmarkStart w:id="60" w:name="PO_part2Table1Remark9"/>
      <w:r>
        <w:rPr>
          <w:rFonts w:hint="eastAsia" w:ascii="宋体" w:hAnsi="宋体" w:cs="宋体"/>
          <w:szCs w:val="21"/>
        </w:rPr>
        <w:t xml:space="preserve">本表反映部门本年度财政拨款“三公”经费支出预决算情况。其中，预算数为“三公”经费全年预算数，反映按规定程序调整后的预算数；决算数是包括当年财政拨款和以前年度结转资金安排的实际支出。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6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2NkOWI0OGNlNzJkODZjZmQzN2QzZjlmM2MxZDkifQ=="/>
  </w:docVars>
  <w:rsids>
    <w:rsidRoot w:val="07B46C8C"/>
    <w:rsid w:val="07B46C8C"/>
    <w:rsid w:val="4C2169ED"/>
    <w:rsid w:val="5355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829</Words>
  <Characters>928</Characters>
  <Lines>0</Lines>
  <Paragraphs>0</Paragraphs>
  <TotalTime>0</TotalTime>
  <ScaleCrop>false</ScaleCrop>
  <LinksUpToDate>false</LinksUpToDate>
  <CharactersWithSpaces>1002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2023-10-10T02:11:00Z</dcterms:created>
  <dc:creator>Administrator</dc:creator>
  <cp:lastModifiedBy>Administrator</cp:lastModifiedBy>
  <dcterms:modified xsi:type="dcterms:W3CDTF">2023-10-12T08:17:17Z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8735989937DA47C89ADEE581F3D00761_11</vt:lpwstr>
  </property>
</Properties>
</file>