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91" w:firstLineChars="800"/>
        <w:jc w:val="left"/>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2022年徐闻县</w:t>
      </w:r>
      <w:r>
        <w:rPr>
          <w:rFonts w:hint="eastAsia" w:asciiTheme="majorEastAsia" w:hAnsiTheme="majorEastAsia" w:eastAsiaTheme="majorEastAsia" w:cstheme="majorEastAsia"/>
          <w:b/>
          <w:sz w:val="36"/>
          <w:szCs w:val="36"/>
          <w:lang w:eastAsia="zh-CN"/>
        </w:rPr>
        <w:t>城北乡</w:t>
      </w:r>
      <w:r>
        <w:rPr>
          <w:rFonts w:hint="eastAsia" w:asciiTheme="majorEastAsia" w:hAnsiTheme="majorEastAsia" w:eastAsiaTheme="majorEastAsia" w:cstheme="majorEastAsia"/>
          <w:b/>
          <w:sz w:val="36"/>
          <w:szCs w:val="36"/>
        </w:rPr>
        <w:t>中心小学“三公”经费决算</w:t>
      </w:r>
    </w:p>
    <w:p>
      <w:pPr>
        <w:ind w:firstLine="723" w:firstLineChars="200"/>
        <w:jc w:val="left"/>
      </w:pPr>
      <w:r>
        <w:rPr>
          <w:rFonts w:hint="eastAsia" w:asciiTheme="majorEastAsia" w:hAnsiTheme="majorEastAsia" w:eastAsiaTheme="majorEastAsia" w:cstheme="majorEastAsia"/>
          <w:b/>
          <w:sz w:val="36"/>
          <w:szCs w:val="36"/>
        </w:rPr>
        <w:t xml:space="preserve">                          公开情况说明及表格</w:t>
      </w:r>
    </w:p>
    <w:p>
      <w:pPr>
        <w:ind w:firstLine="643" w:firstLineChars="200"/>
        <w:jc w:val="left"/>
        <w:rPr>
          <w:rFonts w:asciiTheme="majorEastAsia" w:hAnsiTheme="majorEastAsia" w:eastAsiaTheme="majorEastAsia" w:cstheme="majorEastAsia"/>
          <w:b/>
          <w:sz w:val="32"/>
          <w:szCs w:val="32"/>
        </w:rPr>
      </w:pPr>
    </w:p>
    <w:p>
      <w:pPr>
        <w:spacing w:line="480" w:lineRule="auto"/>
        <w:ind w:firstLine="562" w:firstLineChars="200"/>
        <w:jc w:val="left"/>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（一）“三公”经费财政拨款支出决算总体情况说明</w:t>
      </w:r>
    </w:p>
    <w:p>
      <w:pPr>
        <w:spacing w:line="480" w:lineRule="auto"/>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徐闻县</w:t>
      </w:r>
      <w:r>
        <w:rPr>
          <w:rFonts w:hint="eastAsia" w:asciiTheme="majorEastAsia" w:hAnsiTheme="majorEastAsia" w:eastAsiaTheme="majorEastAsia" w:cstheme="majorEastAsia"/>
          <w:sz w:val="28"/>
          <w:szCs w:val="28"/>
          <w:lang w:eastAsia="zh-CN"/>
        </w:rPr>
        <w:t>城北乡</w:t>
      </w:r>
      <w:r>
        <w:rPr>
          <w:rFonts w:hint="eastAsia" w:asciiTheme="majorEastAsia" w:hAnsiTheme="majorEastAsia" w:eastAsiaTheme="majorEastAsia" w:cstheme="majorEastAsia"/>
          <w:sz w:val="28"/>
          <w:szCs w:val="28"/>
        </w:rPr>
        <w:t>中心小学2022 年度“三公”经费财政拨款支出决算为0万元，完成预算0万元的0% 。其中：因公出国（境）费支出决算为0 万元，完成预算0 万元的0% ；公务用车购置及运行费支出决算为0万元，完成预算0 万元的0% （其中：公务用车购置支出决算为0 万元，完成预算0 万元的0% ；公务用车运行费支出决算为1.4 万元，完成预算0万元的0% ）；公务接待费支出决算为0 万元，完成预算0 万元的0% 。</w:t>
      </w:r>
    </w:p>
    <w:p>
      <w:pPr>
        <w:spacing w:line="480" w:lineRule="auto"/>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2022 年度“三公”经费支出决算等于 预算数的主要情况：认真贯彻落实中央八项规定精神和厉行节约的要求，从严控制“三公”经费开支，全年实际支出比预算有所节约。 </w:t>
      </w:r>
    </w:p>
    <w:p>
      <w:pPr>
        <w:spacing w:line="480" w:lineRule="auto"/>
        <w:ind w:firstLine="562" w:firstLineChars="200"/>
        <w:jc w:val="left"/>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（二）“三公”经费财政拨款支出决算具体情况说明</w:t>
      </w:r>
    </w:p>
    <w:p>
      <w:pPr>
        <w:spacing w:line="480" w:lineRule="auto"/>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2022 年“三公”经费财政拨款支出决算中，因公出国（境）费0万元，占0.0% ；公务用车购置及运行费支出0 万元，占0</w:t>
      </w:r>
      <w:r>
        <w:rPr>
          <w:rFonts w:asciiTheme="majorEastAsia" w:hAnsiTheme="majorEastAsia" w:eastAsiaTheme="majorEastAsia" w:cstheme="majorEastAsia"/>
          <w:sz w:val="28"/>
          <w:szCs w:val="28"/>
        </w:rPr>
        <w:t>.0</w:t>
      </w:r>
      <w:r>
        <w:rPr>
          <w:rFonts w:hint="eastAsia" w:asciiTheme="majorEastAsia" w:hAnsiTheme="majorEastAsia" w:eastAsiaTheme="majorEastAsia" w:cstheme="majorEastAsia"/>
          <w:sz w:val="28"/>
          <w:szCs w:val="28"/>
        </w:rPr>
        <w:t>% ；公务接待费支出0万元，占0.0% 。具体情况如下：</w:t>
      </w:r>
    </w:p>
    <w:p>
      <w:pPr>
        <w:tabs>
          <w:tab w:val="left" w:pos="537"/>
        </w:tabs>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1.因公出国（境）费支出0 万元。全年使用财政拨款安排出国(境)团组0 个、累计0 人次。 </w:t>
      </w:r>
    </w:p>
    <w:p>
      <w:pPr>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2.公务用车购置及运行维护费支出0 万元，其中：公务用车购置支出为0 万元，公务用车购置数0 辆。公务用车运行及维护支出0 万元， 公务用车保有量为</w:t>
      </w:r>
      <w:r>
        <w:rPr>
          <w:rFonts w:asciiTheme="majorEastAsia" w:hAnsiTheme="majorEastAsia" w:eastAsiaTheme="majorEastAsia" w:cstheme="majorEastAsia"/>
          <w:sz w:val="28"/>
          <w:szCs w:val="28"/>
        </w:rPr>
        <w:t>0</w:t>
      </w:r>
      <w:r>
        <w:rPr>
          <w:rFonts w:hint="eastAsia" w:asciiTheme="majorEastAsia" w:hAnsiTheme="majorEastAsia" w:eastAsiaTheme="majorEastAsia" w:cstheme="majorEastAsia"/>
          <w:sz w:val="28"/>
          <w:szCs w:val="28"/>
        </w:rPr>
        <w:t xml:space="preserve"> 辆，主要用于部门日常公务出行。 </w:t>
      </w:r>
    </w:p>
    <w:p>
      <w:pPr>
        <w:ind w:firstLine="56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28"/>
          <w:szCs w:val="28"/>
        </w:rPr>
        <w:t>3.公务接待费支出0 万元，主要用于本年无发生额度 ，共接待国外、境外来访团组0 个，来访外宾0 人次；发生国内接待0 次，接待人数共0 人。主要包括：本年无发生额度。</w:t>
      </w:r>
    </w:p>
    <w:p>
      <w:pPr>
        <w:spacing w:line="288" w:lineRule="auto"/>
        <w:rPr>
          <w:rFonts w:ascii="宋体" w:hAnsi="宋体" w:cs="宋体"/>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bookmarkStart w:id="0" w:name="PO_part2Table7DivName1"/>
            <w:bookmarkEnd w:id="0"/>
            <w:r>
              <w:rPr>
                <w:rFonts w:hint="eastAsia" w:ascii="宋体" w:hAnsi="宋体" w:cs="宋体"/>
                <w:kern w:val="0"/>
                <w:sz w:val="20"/>
                <w:szCs w:val="20"/>
              </w:rPr>
              <w:t>部门： 徐闻县</w:t>
            </w:r>
            <w:r>
              <w:rPr>
                <w:rFonts w:hint="eastAsia" w:ascii="宋体" w:hAnsi="宋体" w:cs="宋体"/>
                <w:kern w:val="0"/>
                <w:sz w:val="20"/>
                <w:szCs w:val="20"/>
                <w:lang w:eastAsia="zh-CN"/>
              </w:rPr>
              <w:t>城北乡</w:t>
            </w:r>
            <w:r>
              <w:rPr>
                <w:rFonts w:hint="eastAsia" w:ascii="宋体" w:hAnsi="宋体" w:cs="宋体"/>
                <w:kern w:val="0"/>
                <w:sz w:val="20"/>
                <w:szCs w:val="20"/>
              </w:rPr>
              <w:t>中心小学</w:t>
            </w:r>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rPr>
            </w:pPr>
            <w:r>
              <w:rPr>
                <w:rFonts w:hint="eastAsia" w:ascii="宋体" w:hAnsi="宋体" w:cs="宋体"/>
                <w:kern w:val="0"/>
              </w:rPr>
              <w:t>预算数</w:t>
            </w:r>
          </w:p>
        </w:tc>
        <w:tc>
          <w:tcPr>
            <w:tcW w:w="7081" w:type="dxa"/>
            <w:gridSpan w:val="6"/>
            <w:tcBorders>
              <w:top w:val="single" w:color="auto" w:sz="4" w:space="0"/>
            </w:tcBorders>
            <w:vAlign w:val="center"/>
          </w:tcPr>
          <w:p>
            <w:pPr>
              <w:jc w:val="center"/>
              <w:rPr>
                <w:rFonts w:ascii="宋体" w:hAnsi="宋体" w:cs="宋体"/>
              </w:rPr>
            </w:pPr>
            <w:r>
              <w:rPr>
                <w:rFonts w:hint="eastAsia" w:ascii="宋体" w:hAnsi="宋体" w:cs="宋体"/>
                <w:kern w:val="0"/>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rPr>
            </w:pPr>
            <w:r>
              <w:rPr>
                <w:rFonts w:hint="eastAsia" w:ascii="宋体" w:hAnsi="宋体" w:cs="宋体"/>
                <w:kern w:val="0"/>
              </w:rPr>
              <w:t>合计</w:t>
            </w:r>
          </w:p>
        </w:tc>
        <w:tc>
          <w:tcPr>
            <w:tcW w:w="1182" w:type="dxa"/>
            <w:vMerge w:val="restart"/>
            <w:vAlign w:val="center"/>
          </w:tcPr>
          <w:p>
            <w:pPr>
              <w:widowControl/>
              <w:jc w:val="center"/>
              <w:rPr>
                <w:rFonts w:ascii="宋体" w:hAnsi="宋体" w:cs="宋体"/>
                <w:kern w:val="0"/>
              </w:rPr>
            </w:pPr>
            <w:r>
              <w:rPr>
                <w:rFonts w:hint="eastAsia" w:ascii="宋体" w:hAnsi="宋体" w:cs="宋体"/>
                <w:kern w:val="0"/>
              </w:rPr>
              <w:t>因公出国（境）费</w:t>
            </w:r>
          </w:p>
        </w:tc>
        <w:tc>
          <w:tcPr>
            <w:tcW w:w="3546" w:type="dxa"/>
            <w:gridSpan w:val="3"/>
            <w:vAlign w:val="center"/>
          </w:tcPr>
          <w:p>
            <w:pPr>
              <w:jc w:val="center"/>
              <w:rPr>
                <w:rFonts w:ascii="宋体" w:hAnsi="宋体" w:cs="宋体"/>
              </w:rPr>
            </w:pPr>
            <w:r>
              <w:rPr>
                <w:rFonts w:hint="eastAsia" w:ascii="宋体" w:hAnsi="宋体" w:cs="宋体"/>
                <w:kern w:val="0"/>
              </w:rPr>
              <w:t>公务用车购置及运行费</w:t>
            </w:r>
          </w:p>
        </w:tc>
        <w:tc>
          <w:tcPr>
            <w:tcW w:w="1182" w:type="dxa"/>
            <w:vMerge w:val="restart"/>
            <w:vAlign w:val="center"/>
          </w:tcPr>
          <w:p>
            <w:pPr>
              <w:widowControl/>
              <w:jc w:val="center"/>
              <w:rPr>
                <w:rFonts w:ascii="宋体" w:hAnsi="宋体" w:cs="宋体"/>
                <w:kern w:val="0"/>
              </w:rPr>
            </w:pPr>
            <w:r>
              <w:rPr>
                <w:rFonts w:hint="eastAsia" w:ascii="宋体" w:hAnsi="宋体" w:cs="宋体"/>
                <w:kern w:val="0"/>
              </w:rPr>
              <w:t>公务接待费</w:t>
            </w:r>
          </w:p>
        </w:tc>
        <w:tc>
          <w:tcPr>
            <w:tcW w:w="1182" w:type="dxa"/>
            <w:vMerge w:val="restart"/>
            <w:vAlign w:val="center"/>
          </w:tcPr>
          <w:p>
            <w:pPr>
              <w:widowControl/>
              <w:jc w:val="center"/>
              <w:rPr>
                <w:rFonts w:ascii="宋体" w:hAnsi="宋体" w:cs="宋体"/>
                <w:kern w:val="0"/>
              </w:rPr>
            </w:pPr>
            <w:r>
              <w:rPr>
                <w:rFonts w:hint="eastAsia" w:ascii="宋体" w:hAnsi="宋体" w:cs="宋体"/>
                <w:kern w:val="0"/>
              </w:rPr>
              <w:t>合计</w:t>
            </w:r>
          </w:p>
        </w:tc>
        <w:tc>
          <w:tcPr>
            <w:tcW w:w="1182" w:type="dxa"/>
            <w:vMerge w:val="restart"/>
            <w:vAlign w:val="center"/>
          </w:tcPr>
          <w:p>
            <w:pPr>
              <w:jc w:val="center"/>
              <w:rPr>
                <w:rFonts w:ascii="宋体" w:hAnsi="宋体" w:cs="宋体"/>
              </w:rPr>
            </w:pPr>
            <w:r>
              <w:rPr>
                <w:rFonts w:hint="eastAsia" w:ascii="宋体" w:hAnsi="宋体" w:cs="宋体"/>
                <w:kern w:val="0"/>
              </w:rPr>
              <w:t>因公出国（境）费</w:t>
            </w:r>
          </w:p>
        </w:tc>
        <w:tc>
          <w:tcPr>
            <w:tcW w:w="3546" w:type="dxa"/>
            <w:gridSpan w:val="3"/>
            <w:vAlign w:val="center"/>
          </w:tcPr>
          <w:p>
            <w:pPr>
              <w:jc w:val="center"/>
              <w:rPr>
                <w:rFonts w:ascii="宋体" w:hAnsi="宋体" w:cs="宋体"/>
              </w:rPr>
            </w:pPr>
            <w:r>
              <w:rPr>
                <w:rFonts w:hint="eastAsia" w:ascii="宋体" w:hAnsi="宋体" w:cs="宋体"/>
                <w:kern w:val="0"/>
              </w:rPr>
              <w:t>公务用车购置及运行费</w:t>
            </w:r>
          </w:p>
        </w:tc>
        <w:tc>
          <w:tcPr>
            <w:tcW w:w="1171" w:type="dxa"/>
            <w:vMerge w:val="restart"/>
            <w:vAlign w:val="center"/>
          </w:tcPr>
          <w:p>
            <w:pPr>
              <w:jc w:val="center"/>
              <w:rPr>
                <w:rFonts w:ascii="宋体" w:hAnsi="宋体" w:cs="宋体"/>
              </w:rPr>
            </w:pPr>
            <w:r>
              <w:rPr>
                <w:rFonts w:hint="eastAsia" w:ascii="宋体" w:hAnsi="宋体" w:cs="宋体"/>
                <w:kern w:val="0"/>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rPr>
            </w:pPr>
          </w:p>
        </w:tc>
        <w:tc>
          <w:tcPr>
            <w:tcW w:w="1182" w:type="dxa"/>
            <w:vMerge w:val="continue"/>
            <w:vAlign w:val="center"/>
          </w:tcPr>
          <w:p>
            <w:pPr>
              <w:spacing w:line="288" w:lineRule="auto"/>
              <w:jc w:val="center"/>
              <w:rPr>
                <w:rFonts w:ascii="宋体" w:hAnsi="宋体" w:cs="宋体"/>
              </w:rPr>
            </w:pPr>
          </w:p>
        </w:tc>
        <w:tc>
          <w:tcPr>
            <w:tcW w:w="1182" w:type="dxa"/>
            <w:vAlign w:val="center"/>
          </w:tcPr>
          <w:p>
            <w:pPr>
              <w:widowControl/>
              <w:jc w:val="center"/>
              <w:rPr>
                <w:rFonts w:ascii="宋体" w:hAnsi="宋体" w:cs="宋体"/>
                <w:kern w:val="0"/>
              </w:rPr>
            </w:pPr>
            <w:r>
              <w:rPr>
                <w:rFonts w:hint="eastAsia" w:ascii="宋体" w:hAnsi="宋体" w:cs="宋体"/>
                <w:kern w:val="0"/>
              </w:rPr>
              <w:t>小计</w:t>
            </w:r>
          </w:p>
        </w:tc>
        <w:tc>
          <w:tcPr>
            <w:tcW w:w="1182" w:type="dxa"/>
            <w:vAlign w:val="center"/>
          </w:tcPr>
          <w:p>
            <w:pPr>
              <w:widowControl/>
              <w:jc w:val="center"/>
              <w:rPr>
                <w:rFonts w:ascii="宋体" w:hAnsi="宋体" w:cs="宋体"/>
                <w:kern w:val="0"/>
              </w:rPr>
            </w:pPr>
            <w:r>
              <w:rPr>
                <w:rFonts w:hint="eastAsia" w:ascii="宋体" w:hAnsi="宋体" w:cs="宋体"/>
                <w:kern w:val="0"/>
              </w:rPr>
              <w:t>公务用车</w:t>
            </w:r>
            <w:r>
              <w:br w:type="textWrapping"/>
            </w:r>
            <w:r>
              <w:rPr>
                <w:rFonts w:hint="eastAsia" w:ascii="宋体" w:hAnsi="宋体" w:cs="宋体"/>
                <w:kern w:val="0"/>
              </w:rPr>
              <w:t>购置费</w:t>
            </w:r>
          </w:p>
        </w:tc>
        <w:tc>
          <w:tcPr>
            <w:tcW w:w="1182" w:type="dxa"/>
            <w:vAlign w:val="center"/>
          </w:tcPr>
          <w:p>
            <w:pPr>
              <w:widowControl/>
              <w:jc w:val="center"/>
              <w:rPr>
                <w:rFonts w:ascii="宋体" w:hAnsi="宋体" w:cs="宋体"/>
                <w:kern w:val="0"/>
              </w:rPr>
            </w:pPr>
            <w:r>
              <w:rPr>
                <w:rFonts w:hint="eastAsia" w:ascii="宋体" w:hAnsi="宋体" w:cs="宋体"/>
                <w:kern w:val="0"/>
              </w:rPr>
              <w:t>公务用车</w:t>
            </w:r>
            <w:r>
              <w:br w:type="textWrapping"/>
            </w:r>
            <w:r>
              <w:rPr>
                <w:rFonts w:hint="eastAsia" w:ascii="宋体" w:hAnsi="宋体" w:cs="宋体"/>
                <w:kern w:val="0"/>
              </w:rPr>
              <w:t>运行费</w:t>
            </w:r>
          </w:p>
        </w:tc>
        <w:tc>
          <w:tcPr>
            <w:tcW w:w="1182" w:type="dxa"/>
            <w:vMerge w:val="continue"/>
            <w:vAlign w:val="center"/>
          </w:tcPr>
          <w:p>
            <w:pPr>
              <w:spacing w:line="288" w:lineRule="auto"/>
              <w:jc w:val="center"/>
              <w:rPr>
                <w:rFonts w:ascii="宋体" w:hAnsi="宋体" w:cs="宋体"/>
              </w:rPr>
            </w:pPr>
          </w:p>
        </w:tc>
        <w:tc>
          <w:tcPr>
            <w:tcW w:w="1182" w:type="dxa"/>
            <w:vMerge w:val="continue"/>
            <w:vAlign w:val="center"/>
          </w:tcPr>
          <w:p>
            <w:pPr>
              <w:spacing w:line="288" w:lineRule="auto"/>
              <w:jc w:val="center"/>
              <w:rPr>
                <w:rFonts w:ascii="宋体" w:hAnsi="宋体" w:cs="宋体"/>
              </w:rPr>
            </w:pPr>
          </w:p>
        </w:tc>
        <w:tc>
          <w:tcPr>
            <w:tcW w:w="1182" w:type="dxa"/>
            <w:vMerge w:val="continue"/>
            <w:vAlign w:val="center"/>
          </w:tcPr>
          <w:p>
            <w:pPr>
              <w:spacing w:line="288" w:lineRule="auto"/>
              <w:jc w:val="center"/>
              <w:rPr>
                <w:rFonts w:ascii="宋体" w:hAnsi="宋体" w:cs="宋体"/>
              </w:rPr>
            </w:pPr>
          </w:p>
        </w:tc>
        <w:tc>
          <w:tcPr>
            <w:tcW w:w="1182" w:type="dxa"/>
            <w:vAlign w:val="center"/>
          </w:tcPr>
          <w:p>
            <w:pPr>
              <w:widowControl/>
              <w:jc w:val="center"/>
              <w:rPr>
                <w:rFonts w:ascii="宋体" w:hAnsi="宋体" w:cs="宋体"/>
                <w:kern w:val="0"/>
              </w:rPr>
            </w:pPr>
            <w:r>
              <w:rPr>
                <w:rFonts w:hint="eastAsia" w:ascii="宋体" w:hAnsi="宋体" w:cs="宋体"/>
                <w:kern w:val="0"/>
              </w:rPr>
              <w:t>小计</w:t>
            </w:r>
          </w:p>
        </w:tc>
        <w:tc>
          <w:tcPr>
            <w:tcW w:w="1182" w:type="dxa"/>
            <w:vAlign w:val="center"/>
          </w:tcPr>
          <w:p>
            <w:pPr>
              <w:widowControl/>
              <w:jc w:val="center"/>
              <w:rPr>
                <w:rFonts w:ascii="宋体" w:hAnsi="宋体" w:cs="宋体"/>
                <w:kern w:val="0"/>
              </w:rPr>
            </w:pPr>
            <w:r>
              <w:rPr>
                <w:rFonts w:hint="eastAsia" w:ascii="宋体" w:hAnsi="宋体" w:cs="宋体"/>
                <w:kern w:val="0"/>
              </w:rPr>
              <w:t>公务用车</w:t>
            </w:r>
            <w:r>
              <w:br w:type="textWrapping"/>
            </w:r>
            <w:r>
              <w:rPr>
                <w:rFonts w:hint="eastAsia" w:ascii="宋体" w:hAnsi="宋体" w:cs="宋体"/>
                <w:kern w:val="0"/>
              </w:rPr>
              <w:t>购置费</w:t>
            </w:r>
          </w:p>
        </w:tc>
        <w:tc>
          <w:tcPr>
            <w:tcW w:w="1182" w:type="dxa"/>
            <w:vAlign w:val="center"/>
          </w:tcPr>
          <w:p>
            <w:pPr>
              <w:widowControl/>
              <w:jc w:val="center"/>
              <w:rPr>
                <w:rFonts w:ascii="宋体" w:hAnsi="宋体" w:cs="宋体"/>
                <w:kern w:val="0"/>
              </w:rPr>
            </w:pPr>
            <w:r>
              <w:rPr>
                <w:rFonts w:hint="eastAsia" w:ascii="宋体" w:hAnsi="宋体" w:cs="宋体"/>
                <w:kern w:val="0"/>
              </w:rPr>
              <w:t>公务用车</w:t>
            </w:r>
            <w:r>
              <w:br w:type="textWrapping"/>
            </w:r>
            <w:r>
              <w:rPr>
                <w:rFonts w:hint="eastAsia" w:ascii="宋体" w:hAnsi="宋体" w:cs="宋体"/>
                <w:kern w:val="0"/>
              </w:rPr>
              <w:t>运行费</w:t>
            </w:r>
          </w:p>
        </w:tc>
        <w:tc>
          <w:tcPr>
            <w:tcW w:w="1171" w:type="dxa"/>
            <w:vMerge w:val="continue"/>
            <w:vAlign w:val="center"/>
          </w:tcPr>
          <w:p>
            <w:pPr>
              <w:spacing w:line="288"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rPr>
            </w:pPr>
            <w:r>
              <w:rPr>
                <w:rFonts w:hint="eastAsia" w:ascii="宋体" w:hAnsi="宋体" w:cs="宋体"/>
                <w:kern w:val="0"/>
              </w:rPr>
              <w:t>1</w:t>
            </w:r>
          </w:p>
        </w:tc>
        <w:tc>
          <w:tcPr>
            <w:tcW w:w="1182" w:type="dxa"/>
            <w:vAlign w:val="center"/>
          </w:tcPr>
          <w:p>
            <w:pPr>
              <w:widowControl/>
              <w:jc w:val="center"/>
              <w:rPr>
                <w:rFonts w:ascii="宋体" w:hAnsi="宋体" w:cs="宋体"/>
                <w:kern w:val="0"/>
              </w:rPr>
            </w:pPr>
            <w:r>
              <w:rPr>
                <w:rFonts w:hint="eastAsia" w:ascii="宋体" w:hAnsi="宋体" w:cs="宋体"/>
                <w:kern w:val="0"/>
              </w:rPr>
              <w:t>2</w:t>
            </w:r>
          </w:p>
        </w:tc>
        <w:tc>
          <w:tcPr>
            <w:tcW w:w="1182" w:type="dxa"/>
            <w:vAlign w:val="center"/>
          </w:tcPr>
          <w:p>
            <w:pPr>
              <w:widowControl/>
              <w:jc w:val="center"/>
              <w:rPr>
                <w:rFonts w:ascii="宋体" w:hAnsi="宋体" w:cs="宋体"/>
                <w:kern w:val="0"/>
              </w:rPr>
            </w:pPr>
            <w:r>
              <w:rPr>
                <w:rFonts w:hint="eastAsia" w:ascii="宋体" w:hAnsi="宋体" w:cs="宋体"/>
                <w:kern w:val="0"/>
              </w:rPr>
              <w:t>3</w:t>
            </w:r>
          </w:p>
        </w:tc>
        <w:tc>
          <w:tcPr>
            <w:tcW w:w="1182" w:type="dxa"/>
            <w:vAlign w:val="center"/>
          </w:tcPr>
          <w:p>
            <w:pPr>
              <w:widowControl/>
              <w:jc w:val="center"/>
              <w:rPr>
                <w:rFonts w:ascii="宋体" w:hAnsi="宋体" w:cs="宋体"/>
                <w:kern w:val="0"/>
              </w:rPr>
            </w:pPr>
            <w:r>
              <w:rPr>
                <w:rFonts w:hint="eastAsia" w:ascii="宋体" w:hAnsi="宋体" w:cs="宋体"/>
                <w:kern w:val="0"/>
              </w:rPr>
              <w:t>4</w:t>
            </w:r>
          </w:p>
        </w:tc>
        <w:tc>
          <w:tcPr>
            <w:tcW w:w="1182" w:type="dxa"/>
            <w:vAlign w:val="center"/>
          </w:tcPr>
          <w:p>
            <w:pPr>
              <w:widowControl/>
              <w:jc w:val="center"/>
              <w:rPr>
                <w:rFonts w:ascii="宋体" w:hAnsi="宋体" w:cs="宋体"/>
                <w:kern w:val="0"/>
              </w:rPr>
            </w:pPr>
            <w:r>
              <w:rPr>
                <w:rFonts w:hint="eastAsia" w:ascii="宋体" w:hAnsi="宋体" w:cs="宋体"/>
                <w:kern w:val="0"/>
              </w:rPr>
              <w:t>5</w:t>
            </w:r>
          </w:p>
        </w:tc>
        <w:tc>
          <w:tcPr>
            <w:tcW w:w="1182" w:type="dxa"/>
            <w:vAlign w:val="center"/>
          </w:tcPr>
          <w:p>
            <w:pPr>
              <w:widowControl/>
              <w:jc w:val="center"/>
              <w:rPr>
                <w:rFonts w:ascii="宋体" w:hAnsi="宋体" w:cs="宋体"/>
                <w:kern w:val="0"/>
              </w:rPr>
            </w:pPr>
            <w:r>
              <w:rPr>
                <w:rFonts w:hint="eastAsia" w:ascii="宋体" w:hAnsi="宋体" w:cs="宋体"/>
                <w:kern w:val="0"/>
              </w:rPr>
              <w:t>6</w:t>
            </w:r>
          </w:p>
        </w:tc>
        <w:tc>
          <w:tcPr>
            <w:tcW w:w="1182" w:type="dxa"/>
            <w:vAlign w:val="center"/>
          </w:tcPr>
          <w:p>
            <w:pPr>
              <w:widowControl/>
              <w:jc w:val="center"/>
              <w:rPr>
                <w:rFonts w:ascii="宋体" w:hAnsi="宋体" w:cs="宋体"/>
                <w:kern w:val="0"/>
              </w:rPr>
            </w:pPr>
            <w:r>
              <w:rPr>
                <w:rFonts w:hint="eastAsia" w:ascii="宋体" w:hAnsi="宋体" w:cs="宋体"/>
                <w:kern w:val="0"/>
              </w:rPr>
              <w:t>7</w:t>
            </w:r>
          </w:p>
        </w:tc>
        <w:tc>
          <w:tcPr>
            <w:tcW w:w="1182" w:type="dxa"/>
            <w:vAlign w:val="center"/>
          </w:tcPr>
          <w:p>
            <w:pPr>
              <w:widowControl/>
              <w:jc w:val="center"/>
              <w:rPr>
                <w:rFonts w:ascii="宋体" w:hAnsi="宋体" w:cs="宋体"/>
                <w:kern w:val="0"/>
              </w:rPr>
            </w:pPr>
            <w:r>
              <w:rPr>
                <w:rFonts w:hint="eastAsia" w:ascii="宋体" w:hAnsi="宋体" w:cs="宋体"/>
                <w:kern w:val="0"/>
              </w:rPr>
              <w:t>8</w:t>
            </w:r>
          </w:p>
        </w:tc>
        <w:tc>
          <w:tcPr>
            <w:tcW w:w="1182" w:type="dxa"/>
            <w:vAlign w:val="center"/>
          </w:tcPr>
          <w:p>
            <w:pPr>
              <w:widowControl/>
              <w:jc w:val="center"/>
              <w:rPr>
                <w:rFonts w:ascii="宋体" w:hAnsi="宋体" w:cs="宋体"/>
                <w:kern w:val="0"/>
              </w:rPr>
            </w:pPr>
            <w:r>
              <w:rPr>
                <w:rFonts w:hint="eastAsia" w:ascii="宋体" w:hAnsi="宋体" w:cs="宋体"/>
                <w:kern w:val="0"/>
              </w:rPr>
              <w:t>9</w:t>
            </w:r>
          </w:p>
        </w:tc>
        <w:tc>
          <w:tcPr>
            <w:tcW w:w="1182" w:type="dxa"/>
            <w:vAlign w:val="center"/>
          </w:tcPr>
          <w:p>
            <w:pPr>
              <w:widowControl/>
              <w:jc w:val="center"/>
              <w:rPr>
                <w:rFonts w:ascii="宋体" w:hAnsi="宋体" w:cs="宋体"/>
                <w:kern w:val="0"/>
              </w:rPr>
            </w:pPr>
            <w:r>
              <w:rPr>
                <w:rFonts w:hint="eastAsia" w:ascii="宋体" w:hAnsi="宋体" w:cs="宋体"/>
                <w:kern w:val="0"/>
              </w:rPr>
              <w:t>10</w:t>
            </w:r>
          </w:p>
        </w:tc>
        <w:tc>
          <w:tcPr>
            <w:tcW w:w="1182" w:type="dxa"/>
            <w:vAlign w:val="center"/>
          </w:tcPr>
          <w:p>
            <w:pPr>
              <w:widowControl/>
              <w:jc w:val="center"/>
              <w:rPr>
                <w:rFonts w:ascii="宋体" w:hAnsi="宋体" w:cs="宋体"/>
                <w:kern w:val="0"/>
              </w:rPr>
            </w:pPr>
            <w:r>
              <w:rPr>
                <w:rFonts w:hint="eastAsia" w:ascii="宋体" w:hAnsi="宋体" w:cs="宋体"/>
                <w:kern w:val="0"/>
              </w:rPr>
              <w:t>11</w:t>
            </w:r>
          </w:p>
        </w:tc>
        <w:tc>
          <w:tcPr>
            <w:tcW w:w="1171" w:type="dxa"/>
            <w:vAlign w:val="center"/>
          </w:tcPr>
          <w:p>
            <w:pPr>
              <w:widowControl/>
              <w:jc w:val="center"/>
              <w:rPr>
                <w:rFonts w:ascii="宋体" w:hAnsi="宋体" w:cs="宋体"/>
                <w:kern w:val="0"/>
              </w:rPr>
            </w:pPr>
            <w:r>
              <w:rPr>
                <w:rFonts w:hint="eastAsia" w:ascii="宋体" w:hAnsi="宋体" w:cs="宋体"/>
                <w:kern w:val="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tcPr>
          <w:p>
            <w:pPr>
              <w:jc w:val="center"/>
            </w:pPr>
            <w:r>
              <w:rPr>
                <w:rFonts w:hint="eastAsia" w:ascii="宋体" w:hAnsi="宋体" w:cs="宋体"/>
                <w:kern w:val="0"/>
              </w:rPr>
              <w:t>0.00</w:t>
            </w:r>
          </w:p>
        </w:tc>
        <w:tc>
          <w:tcPr>
            <w:tcW w:w="1182" w:type="dxa"/>
          </w:tcPr>
          <w:p>
            <w:pPr>
              <w:jc w:val="center"/>
            </w:pPr>
            <w:r>
              <w:rPr>
                <w:rFonts w:hint="eastAsia" w:ascii="宋体" w:hAnsi="宋体" w:cs="宋体"/>
                <w:kern w:val="0"/>
              </w:rPr>
              <w:t>0.00</w:t>
            </w:r>
          </w:p>
        </w:tc>
        <w:tc>
          <w:tcPr>
            <w:tcW w:w="1182" w:type="dxa"/>
          </w:tcPr>
          <w:p>
            <w:pPr>
              <w:jc w:val="center"/>
            </w:pPr>
            <w:r>
              <w:rPr>
                <w:rFonts w:hint="eastAsia" w:ascii="宋体" w:hAnsi="宋体" w:cs="宋体"/>
                <w:kern w:val="0"/>
              </w:rPr>
              <w:t>0.00</w:t>
            </w:r>
          </w:p>
        </w:tc>
        <w:tc>
          <w:tcPr>
            <w:tcW w:w="1182" w:type="dxa"/>
          </w:tcPr>
          <w:p>
            <w:pPr>
              <w:jc w:val="center"/>
            </w:pPr>
            <w:r>
              <w:rPr>
                <w:rFonts w:hint="eastAsia" w:ascii="宋体" w:hAnsi="宋体" w:cs="宋体"/>
                <w:kern w:val="0"/>
              </w:rPr>
              <w:t>0.00</w:t>
            </w:r>
          </w:p>
        </w:tc>
        <w:tc>
          <w:tcPr>
            <w:tcW w:w="1182" w:type="dxa"/>
          </w:tcPr>
          <w:p>
            <w:pPr>
              <w:jc w:val="center"/>
            </w:pPr>
            <w:r>
              <w:rPr>
                <w:rFonts w:hint="eastAsia" w:ascii="宋体" w:hAnsi="宋体" w:cs="宋体"/>
                <w:kern w:val="0"/>
              </w:rPr>
              <w:t>0.00</w:t>
            </w:r>
          </w:p>
        </w:tc>
        <w:tc>
          <w:tcPr>
            <w:tcW w:w="1182" w:type="dxa"/>
          </w:tcPr>
          <w:p>
            <w:pPr>
              <w:jc w:val="center"/>
            </w:pPr>
            <w:bookmarkStart w:id="1" w:name="_GoBack"/>
            <w:bookmarkEnd w:id="1"/>
            <w:r>
              <w:rPr>
                <w:rFonts w:hint="eastAsia" w:ascii="宋体" w:hAnsi="宋体" w:cs="宋体"/>
                <w:kern w:val="0"/>
              </w:rPr>
              <w:t>0.00</w:t>
            </w:r>
          </w:p>
        </w:tc>
        <w:tc>
          <w:tcPr>
            <w:tcW w:w="1182" w:type="dxa"/>
          </w:tcPr>
          <w:p>
            <w:pPr>
              <w:jc w:val="center"/>
            </w:pPr>
            <w:r>
              <w:rPr>
                <w:rFonts w:hint="eastAsia" w:ascii="宋体" w:hAnsi="宋体" w:cs="宋体"/>
                <w:kern w:val="0"/>
              </w:rPr>
              <w:t>0.00</w:t>
            </w:r>
          </w:p>
        </w:tc>
        <w:tc>
          <w:tcPr>
            <w:tcW w:w="1182" w:type="dxa"/>
          </w:tcPr>
          <w:p>
            <w:pPr>
              <w:jc w:val="center"/>
            </w:pPr>
            <w:r>
              <w:rPr>
                <w:rFonts w:hint="eastAsia" w:ascii="宋体" w:hAnsi="宋体" w:cs="宋体"/>
                <w:kern w:val="0"/>
              </w:rPr>
              <w:t>0.00</w:t>
            </w:r>
          </w:p>
        </w:tc>
        <w:tc>
          <w:tcPr>
            <w:tcW w:w="1182" w:type="dxa"/>
          </w:tcPr>
          <w:p>
            <w:pPr>
              <w:jc w:val="center"/>
            </w:pPr>
            <w:r>
              <w:rPr>
                <w:rFonts w:hint="eastAsia" w:ascii="宋体" w:hAnsi="宋体" w:cs="宋体"/>
                <w:kern w:val="0"/>
              </w:rPr>
              <w:t>0.00</w:t>
            </w:r>
          </w:p>
        </w:tc>
        <w:tc>
          <w:tcPr>
            <w:tcW w:w="1182" w:type="dxa"/>
          </w:tcPr>
          <w:p>
            <w:pPr>
              <w:jc w:val="center"/>
            </w:pPr>
            <w:r>
              <w:rPr>
                <w:rFonts w:hint="eastAsia" w:ascii="宋体" w:hAnsi="宋体" w:cs="宋体"/>
                <w:kern w:val="0"/>
              </w:rPr>
              <w:t>0.00</w:t>
            </w:r>
          </w:p>
        </w:tc>
        <w:tc>
          <w:tcPr>
            <w:tcW w:w="1182" w:type="dxa"/>
          </w:tcPr>
          <w:p>
            <w:pPr>
              <w:jc w:val="center"/>
            </w:pPr>
            <w:r>
              <w:rPr>
                <w:rFonts w:hint="eastAsia" w:ascii="宋体" w:hAnsi="宋体" w:cs="宋体"/>
                <w:kern w:val="0"/>
              </w:rPr>
              <w:t>0.00</w:t>
            </w:r>
          </w:p>
        </w:tc>
        <w:tc>
          <w:tcPr>
            <w:tcW w:w="1171" w:type="dxa"/>
          </w:tcPr>
          <w:p>
            <w:pPr>
              <w:jc w:val="center"/>
            </w:pPr>
            <w:r>
              <w:rPr>
                <w:rFonts w:hint="eastAsia" w:ascii="宋体" w:hAnsi="宋体" w:cs="宋体"/>
                <w:kern w:val="0"/>
              </w:rPr>
              <w:t>0.00</w:t>
            </w:r>
          </w:p>
        </w:tc>
      </w:tr>
    </w:tbl>
    <w:p>
      <w:pPr>
        <w:spacing w:line="288" w:lineRule="auto"/>
      </w:pPr>
      <w:r>
        <w:rPr>
          <w:rFonts w:hint="eastAsia" w:ascii="宋体" w:hAnsi="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5NTIzZjI3NGExNDRhYmQ4MWM5NzI4MmZlYjk4YmIifQ=="/>
  </w:docVars>
  <w:rsids>
    <w:rsidRoot w:val="07B46C8C"/>
    <w:rsid w:val="00347229"/>
    <w:rsid w:val="00386DE8"/>
    <w:rsid w:val="004E4577"/>
    <w:rsid w:val="007C2799"/>
    <w:rsid w:val="00BC3125"/>
    <w:rsid w:val="00C46963"/>
    <w:rsid w:val="00F52BEE"/>
    <w:rsid w:val="07B46C8C"/>
    <w:rsid w:val="38683B57"/>
    <w:rsid w:val="4C2169ED"/>
    <w:rsid w:val="7DFE1302"/>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eastAsia="宋体" w:cs="Times New Roman"/>
      <w:kern w:val="2"/>
      <w:sz w:val="18"/>
      <w:szCs w:val="18"/>
    </w:rPr>
  </w:style>
  <w:style w:type="character" w:customStyle="1" w:styleId="7">
    <w:name w:val="页脚 字符"/>
    <w:basedOn w:val="5"/>
    <w:link w:val="2"/>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159</Words>
  <Characters>908</Characters>
  <Lines>7</Lines>
  <Paragraphs>2</Paragraphs>
  <TotalTime>8</TotalTime>
  <ScaleCrop>false</ScaleCrop>
  <LinksUpToDate>false</LinksUpToDate>
  <CharactersWithSpaces>1065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2023-10-10T02:11:00Z</dcterms:created>
  <dc:creator>Administrator</dc:creator>
  <cp:lastModifiedBy>往事如梦</cp:lastModifiedBy>
  <dcterms:modified xsi:type="dcterms:W3CDTF">2023-10-17T11:57:41Z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8735989937DA47C89ADEE581F3D00761_11</vt:lpwstr>
  </property>
</Properties>
</file>