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2022年徐闻县</w:t>
      </w:r>
      <w:r>
        <w:rPr>
          <w:rFonts w:hint="eastAsia" w:asciiTheme="majorEastAsia" w:hAnsiTheme="majorEastAsia" w:eastAsiaTheme="majorEastAsia" w:cstheme="majorEastAsia"/>
          <w:b/>
          <w:sz w:val="36"/>
          <w:szCs w:val="36"/>
          <w:lang w:eastAsia="zh-CN"/>
        </w:rPr>
        <w:t>西连镇中心小学</w:t>
      </w:r>
      <w:r>
        <w:rPr>
          <w:rFonts w:hint="eastAsia" w:asciiTheme="majorEastAsia" w:hAnsiTheme="majorEastAsia" w:eastAsiaTheme="majorEastAsia" w:cstheme="majorEastAsia"/>
          <w:b/>
          <w:sz w:val="36"/>
          <w:szCs w:val="36"/>
        </w:rPr>
        <w:t>“三公”经费决算</w:t>
      </w:r>
    </w:p>
    <w:p>
      <w:pPr>
        <w:ind w:firstLine="723" w:firstLineChars="200"/>
        <w:jc w:val="left"/>
      </w:pPr>
      <w:r>
        <w:rPr>
          <w:rFonts w:hint="eastAsia" w:asciiTheme="majorEastAsia" w:hAnsiTheme="majorEastAsia" w:eastAsiaTheme="majorEastAsia" w:cstheme="majorEastAsia"/>
          <w:b/>
          <w:sz w:val="36"/>
          <w:szCs w:val="36"/>
        </w:rPr>
        <w:t xml:space="preserve">                          公开情况说明及表格</w:t>
      </w:r>
    </w:p>
    <w:p>
      <w:pPr>
        <w:ind w:firstLine="643" w:firstLineChars="200"/>
        <w:jc w:val="left"/>
        <w:rPr>
          <w:rFonts w:asciiTheme="majorEastAsia" w:hAnsiTheme="majorEastAsia" w:eastAsiaTheme="majorEastAsia" w:cstheme="majorEastAsia"/>
          <w:b/>
          <w:sz w:val="32"/>
          <w:szCs w:val="32"/>
        </w:rPr>
      </w:pP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徐闻县</w:t>
      </w:r>
      <w:r>
        <w:rPr>
          <w:rFonts w:hint="eastAsia" w:asciiTheme="majorEastAsia" w:hAnsiTheme="majorEastAsia" w:eastAsiaTheme="majorEastAsia" w:cstheme="majorEastAsia"/>
          <w:sz w:val="28"/>
          <w:szCs w:val="28"/>
          <w:lang w:eastAsia="zh-CN"/>
        </w:rPr>
        <w:t>西连镇中心小学</w:t>
      </w:r>
      <w:r>
        <w:rPr>
          <w:rFonts w:hint="eastAsia" w:asciiTheme="majorEastAsia" w:hAnsiTheme="majorEastAsia" w:eastAsiaTheme="majorEastAsia" w:cstheme="majorEastAsia"/>
          <w:sz w:val="28"/>
          <w:szCs w:val="28"/>
        </w:rPr>
        <w:t>2022 年度“三公”经费财政拨款支出决算为0万元，完成预算0 万元的100% 。其中：因公出国（境）费支出决算为0 万元，完成预算0 万元的0% ；公务用车购置及运行费支出决算为0万元，完成预算0万元的100% （其中：公务用车购置支出决算为0 万元，完成预算0 万元的0% ；公务用车运行费支出决算为0万元，完成预算0 万元的100% ）；公务接待费支出决算为0 万元，完成预算0 万元的0% 。</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2022 年度“三公”经费支出决算等于 预算数的主要情况：认真贯彻落实中央八项规定精神和厉行节约的要求，从严控制“三公”经费开支，全年实际支出比预算有所节约。 </w:t>
      </w:r>
    </w:p>
    <w:p>
      <w:pPr>
        <w:spacing w:line="480" w:lineRule="auto"/>
        <w:ind w:firstLine="562" w:firstLineChars="200"/>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2022 年“三公”经费财政拨款支出决算中，因公出国（境）费0万元，占0.0% ；公务用车购置及运行费支出0万元，占100% ；公务接待费支出0万元，占0.0% 。具体情况如下：</w:t>
      </w:r>
    </w:p>
    <w:p>
      <w:pPr>
        <w:tabs>
          <w:tab w:val="left" w:pos="537"/>
        </w:tabs>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1.因公出国（境）费支出0 万元。全年使用财政拨款安排出国(境)团组0 个、累计0 人次。 </w:t>
      </w:r>
    </w:p>
    <w:p>
      <w:pPr>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2.公务用车购置及运行维护费支出0 万元，其中：公务用车购置支出为0 万元，公务用车购置数0 辆。公务用车运行及维护支出0 万元， 公务用车保有量为0辆，主要用于部门日常公务出行。 </w:t>
      </w:r>
    </w:p>
    <w:p>
      <w:pPr>
        <w:ind w:firstLine="56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 万元，主要用于本年无发生额度，共接待国外、境外来访团组0 个，来访外宾0 人次；发生国内接待0 次，接待人数共0 人。主要包括本年无发生额度。</w:t>
      </w:r>
    </w:p>
    <w:p>
      <w:pPr>
        <w:spacing w:line="288" w:lineRule="auto"/>
        <w:rPr>
          <w:rFonts w:ascii="宋体" w:hAnsi="宋体" w:cs="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部门：徐闻县西连镇中心小学</w:t>
            </w:r>
            <w:bookmarkStart w:id="0" w:name="_GoBack"/>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预算数</w:t>
            </w:r>
          </w:p>
        </w:tc>
        <w:tc>
          <w:tcPr>
            <w:tcW w:w="7081" w:type="dxa"/>
            <w:gridSpan w:val="6"/>
            <w:tcBorders>
              <w:top w:val="single" w:color="auto" w:sz="4" w:space="0"/>
            </w:tcBorders>
            <w:vAlign w:val="center"/>
          </w:tcPr>
          <w:p>
            <w:pPr>
              <w:jc w:val="center"/>
              <w:rPr>
                <w:rFonts w:ascii="宋体" w:hAnsi="宋体" w:cs="宋体"/>
              </w:rPr>
            </w:pPr>
            <w:r>
              <w:rPr>
                <w:rFonts w:hint="eastAsia" w:ascii="宋体" w:hAnsi="宋体" w:cs="宋体"/>
                <w:kern w:val="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公务接待费</w:t>
            </w:r>
          </w:p>
        </w:tc>
        <w:tc>
          <w:tcPr>
            <w:tcW w:w="1182" w:type="dxa"/>
            <w:vMerge w:val="restart"/>
            <w:vAlign w:val="center"/>
          </w:tcPr>
          <w:p>
            <w:pPr>
              <w:widowControl/>
              <w:jc w:val="center"/>
              <w:rPr>
                <w:rFonts w:ascii="宋体" w:hAnsi="宋体" w:cs="宋体"/>
                <w:kern w:val="0"/>
              </w:rPr>
            </w:pPr>
            <w:r>
              <w:rPr>
                <w:rFonts w:hint="eastAsia" w:ascii="宋体" w:hAnsi="宋体" w:cs="宋体"/>
                <w:kern w:val="0"/>
              </w:rPr>
              <w:t>合计</w:t>
            </w:r>
          </w:p>
        </w:tc>
        <w:tc>
          <w:tcPr>
            <w:tcW w:w="1182" w:type="dxa"/>
            <w:vMerge w:val="restart"/>
            <w:vAlign w:val="center"/>
          </w:tcPr>
          <w:p>
            <w:pPr>
              <w:jc w:val="center"/>
              <w:rPr>
                <w:rFonts w:ascii="宋体" w:hAnsi="宋体" w:cs="宋体"/>
              </w:rPr>
            </w:pPr>
            <w:r>
              <w:rPr>
                <w:rFonts w:hint="eastAsia" w:ascii="宋体" w:hAnsi="宋体" w:cs="宋体"/>
                <w:kern w:val="0"/>
              </w:rPr>
              <w:t>因公出国（境）费</w:t>
            </w:r>
          </w:p>
        </w:tc>
        <w:tc>
          <w:tcPr>
            <w:tcW w:w="3546" w:type="dxa"/>
            <w:gridSpan w:val="3"/>
            <w:vAlign w:val="center"/>
          </w:tcPr>
          <w:p>
            <w:pPr>
              <w:jc w:val="center"/>
              <w:rPr>
                <w:rFonts w:ascii="宋体" w:hAnsi="宋体" w:cs="宋体"/>
              </w:rPr>
            </w:pPr>
            <w:r>
              <w:rPr>
                <w:rFonts w:hint="eastAsia" w:ascii="宋体" w:hAnsi="宋体" w:cs="宋体"/>
                <w:kern w:val="0"/>
              </w:rPr>
              <w:t>公务用车购置及运行费</w:t>
            </w:r>
          </w:p>
        </w:tc>
        <w:tc>
          <w:tcPr>
            <w:tcW w:w="1171" w:type="dxa"/>
            <w:vMerge w:val="restart"/>
            <w:vAlign w:val="center"/>
          </w:tcPr>
          <w:p>
            <w:pPr>
              <w:jc w:val="center"/>
              <w:rPr>
                <w:rFonts w:ascii="宋体" w:hAnsi="宋体" w:cs="宋体"/>
              </w:rPr>
            </w:pPr>
            <w:r>
              <w:rPr>
                <w:rFonts w:hint="eastAsia" w:ascii="宋体" w:hAnsi="宋体" w:cs="宋体"/>
                <w:kern w:val="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运行费</w:t>
            </w: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Merge w:val="continue"/>
            <w:vAlign w:val="center"/>
          </w:tcPr>
          <w:p>
            <w:pPr>
              <w:spacing w:line="288" w:lineRule="auto"/>
              <w:jc w:val="center"/>
              <w:rPr>
                <w:rFonts w:ascii="宋体" w:hAnsi="宋体" w:cs="宋体"/>
              </w:rPr>
            </w:pPr>
          </w:p>
        </w:tc>
        <w:tc>
          <w:tcPr>
            <w:tcW w:w="1182" w:type="dxa"/>
            <w:vAlign w:val="center"/>
          </w:tcPr>
          <w:p>
            <w:pPr>
              <w:widowControl/>
              <w:jc w:val="center"/>
              <w:rPr>
                <w:rFonts w:ascii="宋体" w:hAnsi="宋体" w:cs="宋体"/>
                <w:kern w:val="0"/>
              </w:rPr>
            </w:pPr>
            <w:r>
              <w:rPr>
                <w:rFonts w:hint="eastAsia" w:ascii="宋体" w:hAnsi="宋体" w:cs="宋体"/>
                <w:kern w:val="0"/>
              </w:rPr>
              <w:t>小计</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购置费</w:t>
            </w:r>
          </w:p>
        </w:tc>
        <w:tc>
          <w:tcPr>
            <w:tcW w:w="1182" w:type="dxa"/>
            <w:vAlign w:val="center"/>
          </w:tcPr>
          <w:p>
            <w:pPr>
              <w:widowControl/>
              <w:jc w:val="center"/>
              <w:rPr>
                <w:rFonts w:ascii="宋体" w:hAnsi="宋体" w:cs="宋体"/>
                <w:kern w:val="0"/>
              </w:rPr>
            </w:pPr>
            <w:r>
              <w:rPr>
                <w:rFonts w:hint="eastAsia" w:ascii="宋体" w:hAnsi="宋体" w:cs="宋体"/>
                <w:kern w:val="0"/>
              </w:rPr>
              <w:t>公务用车</w:t>
            </w:r>
            <w:r>
              <w:rPr>
                <w:rFonts w:hint="eastAsia" w:ascii="宋体" w:hAnsi="宋体" w:cs="宋体"/>
                <w:kern w:val="0"/>
              </w:rPr>
              <w:br w:type="textWrapping"/>
            </w:r>
            <w:r>
              <w:rPr>
                <w:rFonts w:hint="eastAsia" w:ascii="宋体" w:hAnsi="宋体" w:cs="宋体"/>
                <w:kern w:val="0"/>
              </w:rPr>
              <w:t>运行费</w:t>
            </w:r>
          </w:p>
        </w:tc>
        <w:tc>
          <w:tcPr>
            <w:tcW w:w="1171" w:type="dxa"/>
            <w:vMerge w:val="continue"/>
            <w:vAlign w:val="center"/>
          </w:tcPr>
          <w:p>
            <w:pPr>
              <w:spacing w:line="288"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rPr>
            </w:pPr>
            <w:r>
              <w:rPr>
                <w:rFonts w:hint="eastAsia" w:ascii="宋体" w:hAnsi="宋体" w:cs="宋体"/>
                <w:kern w:val="0"/>
              </w:rPr>
              <w:t>1</w:t>
            </w:r>
          </w:p>
        </w:tc>
        <w:tc>
          <w:tcPr>
            <w:tcW w:w="1182" w:type="dxa"/>
            <w:vAlign w:val="center"/>
          </w:tcPr>
          <w:p>
            <w:pPr>
              <w:widowControl/>
              <w:jc w:val="center"/>
              <w:rPr>
                <w:rFonts w:ascii="宋体" w:hAnsi="宋体" w:cs="宋体"/>
                <w:kern w:val="0"/>
              </w:rPr>
            </w:pPr>
            <w:r>
              <w:rPr>
                <w:rFonts w:hint="eastAsia" w:ascii="宋体" w:hAnsi="宋体" w:cs="宋体"/>
                <w:kern w:val="0"/>
              </w:rPr>
              <w:t>2</w:t>
            </w:r>
          </w:p>
        </w:tc>
        <w:tc>
          <w:tcPr>
            <w:tcW w:w="1182" w:type="dxa"/>
            <w:vAlign w:val="center"/>
          </w:tcPr>
          <w:p>
            <w:pPr>
              <w:widowControl/>
              <w:jc w:val="center"/>
              <w:rPr>
                <w:rFonts w:ascii="宋体" w:hAnsi="宋体" w:cs="宋体"/>
                <w:kern w:val="0"/>
              </w:rPr>
            </w:pPr>
            <w:r>
              <w:rPr>
                <w:rFonts w:hint="eastAsia" w:ascii="宋体" w:hAnsi="宋体" w:cs="宋体"/>
                <w:kern w:val="0"/>
              </w:rPr>
              <w:t>3</w:t>
            </w:r>
          </w:p>
        </w:tc>
        <w:tc>
          <w:tcPr>
            <w:tcW w:w="1182" w:type="dxa"/>
            <w:vAlign w:val="center"/>
          </w:tcPr>
          <w:p>
            <w:pPr>
              <w:widowControl/>
              <w:jc w:val="center"/>
              <w:rPr>
                <w:rFonts w:ascii="宋体" w:hAnsi="宋体" w:cs="宋体"/>
                <w:kern w:val="0"/>
              </w:rPr>
            </w:pPr>
            <w:r>
              <w:rPr>
                <w:rFonts w:hint="eastAsia" w:ascii="宋体" w:hAnsi="宋体" w:cs="宋体"/>
                <w:kern w:val="0"/>
              </w:rPr>
              <w:t>4</w:t>
            </w:r>
          </w:p>
        </w:tc>
        <w:tc>
          <w:tcPr>
            <w:tcW w:w="1182" w:type="dxa"/>
            <w:vAlign w:val="center"/>
          </w:tcPr>
          <w:p>
            <w:pPr>
              <w:widowControl/>
              <w:jc w:val="center"/>
              <w:rPr>
                <w:rFonts w:ascii="宋体" w:hAnsi="宋体" w:cs="宋体"/>
                <w:kern w:val="0"/>
              </w:rPr>
            </w:pPr>
            <w:r>
              <w:rPr>
                <w:rFonts w:hint="eastAsia" w:ascii="宋体" w:hAnsi="宋体" w:cs="宋体"/>
                <w:kern w:val="0"/>
              </w:rPr>
              <w:t>5</w:t>
            </w:r>
          </w:p>
        </w:tc>
        <w:tc>
          <w:tcPr>
            <w:tcW w:w="1182" w:type="dxa"/>
            <w:vAlign w:val="center"/>
          </w:tcPr>
          <w:p>
            <w:pPr>
              <w:widowControl/>
              <w:jc w:val="center"/>
              <w:rPr>
                <w:rFonts w:ascii="宋体" w:hAnsi="宋体" w:cs="宋体"/>
                <w:kern w:val="0"/>
              </w:rPr>
            </w:pPr>
            <w:r>
              <w:rPr>
                <w:rFonts w:hint="eastAsia" w:ascii="宋体" w:hAnsi="宋体" w:cs="宋体"/>
                <w:kern w:val="0"/>
              </w:rPr>
              <w:t>6</w:t>
            </w:r>
          </w:p>
        </w:tc>
        <w:tc>
          <w:tcPr>
            <w:tcW w:w="1182" w:type="dxa"/>
            <w:vAlign w:val="center"/>
          </w:tcPr>
          <w:p>
            <w:pPr>
              <w:widowControl/>
              <w:jc w:val="center"/>
              <w:rPr>
                <w:rFonts w:ascii="宋体" w:hAnsi="宋体" w:cs="宋体"/>
                <w:kern w:val="0"/>
              </w:rPr>
            </w:pPr>
            <w:r>
              <w:rPr>
                <w:rFonts w:hint="eastAsia" w:ascii="宋体" w:hAnsi="宋体" w:cs="宋体"/>
                <w:kern w:val="0"/>
              </w:rPr>
              <w:t>7</w:t>
            </w:r>
          </w:p>
        </w:tc>
        <w:tc>
          <w:tcPr>
            <w:tcW w:w="1182" w:type="dxa"/>
            <w:vAlign w:val="center"/>
          </w:tcPr>
          <w:p>
            <w:pPr>
              <w:widowControl/>
              <w:jc w:val="center"/>
              <w:rPr>
                <w:rFonts w:ascii="宋体" w:hAnsi="宋体" w:cs="宋体"/>
                <w:kern w:val="0"/>
              </w:rPr>
            </w:pPr>
            <w:r>
              <w:rPr>
                <w:rFonts w:hint="eastAsia" w:ascii="宋体" w:hAnsi="宋体" w:cs="宋体"/>
                <w:kern w:val="0"/>
              </w:rPr>
              <w:t>8</w:t>
            </w:r>
          </w:p>
        </w:tc>
        <w:tc>
          <w:tcPr>
            <w:tcW w:w="1182" w:type="dxa"/>
            <w:vAlign w:val="center"/>
          </w:tcPr>
          <w:p>
            <w:pPr>
              <w:widowControl/>
              <w:jc w:val="center"/>
              <w:rPr>
                <w:rFonts w:ascii="宋体" w:hAnsi="宋体" w:cs="宋体"/>
                <w:kern w:val="0"/>
              </w:rPr>
            </w:pPr>
            <w:r>
              <w:rPr>
                <w:rFonts w:hint="eastAsia" w:ascii="宋体" w:hAnsi="宋体" w:cs="宋体"/>
                <w:kern w:val="0"/>
              </w:rPr>
              <w:t>9</w:t>
            </w:r>
          </w:p>
        </w:tc>
        <w:tc>
          <w:tcPr>
            <w:tcW w:w="1182" w:type="dxa"/>
            <w:vAlign w:val="center"/>
          </w:tcPr>
          <w:p>
            <w:pPr>
              <w:widowControl/>
              <w:jc w:val="center"/>
              <w:rPr>
                <w:rFonts w:ascii="宋体" w:hAnsi="宋体" w:cs="宋体"/>
                <w:kern w:val="0"/>
              </w:rPr>
            </w:pPr>
            <w:r>
              <w:rPr>
                <w:rFonts w:hint="eastAsia" w:ascii="宋体" w:hAnsi="宋体" w:cs="宋体"/>
                <w:kern w:val="0"/>
              </w:rPr>
              <w:t>10</w:t>
            </w:r>
          </w:p>
        </w:tc>
        <w:tc>
          <w:tcPr>
            <w:tcW w:w="1182" w:type="dxa"/>
            <w:vAlign w:val="center"/>
          </w:tcPr>
          <w:p>
            <w:pPr>
              <w:widowControl/>
              <w:jc w:val="center"/>
              <w:rPr>
                <w:rFonts w:ascii="宋体" w:hAnsi="宋体" w:cs="宋体"/>
                <w:kern w:val="0"/>
              </w:rPr>
            </w:pPr>
            <w:r>
              <w:rPr>
                <w:rFonts w:hint="eastAsia" w:ascii="宋体" w:hAnsi="宋体" w:cs="宋体"/>
                <w:kern w:val="0"/>
              </w:rPr>
              <w:t>11</w:t>
            </w:r>
          </w:p>
        </w:tc>
        <w:tc>
          <w:tcPr>
            <w:tcW w:w="1171" w:type="dxa"/>
            <w:vAlign w:val="center"/>
          </w:tcPr>
          <w:p>
            <w:pPr>
              <w:widowControl/>
              <w:jc w:val="center"/>
              <w:rPr>
                <w:rFonts w:ascii="宋体" w:hAnsi="宋体" w:cs="宋体"/>
                <w:kern w:val="0"/>
              </w:rPr>
            </w:pPr>
            <w:r>
              <w:rPr>
                <w:rFonts w:hint="eastAsia" w:ascii="宋体" w:hAnsi="宋体" w:cs="宋体"/>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rPr>
            </w:pPr>
            <w:r>
              <w:rPr>
                <w:rFonts w:hint="eastAsia"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hint="eastAsia"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ascii="宋体" w:hAnsi="宋体" w:cs="宋体"/>
                <w:kern w:val="0"/>
              </w:rPr>
              <w:t>00</w:t>
            </w:r>
          </w:p>
        </w:tc>
        <w:tc>
          <w:tcPr>
            <w:tcW w:w="1182" w:type="dxa"/>
            <w:vAlign w:val="center"/>
          </w:tcPr>
          <w:p>
            <w:pPr>
              <w:widowControl/>
              <w:jc w:val="right"/>
              <w:rPr>
                <w:rFonts w:ascii="宋体" w:hAnsi="宋体" w:cs="宋体"/>
                <w:kern w:val="0"/>
              </w:rPr>
            </w:pPr>
            <w:r>
              <w:rPr>
                <w:rFonts w:hint="eastAsia" w:ascii="宋体" w:hAnsi="宋体" w:cs="宋体"/>
                <w:kern w:val="0"/>
              </w:rPr>
              <w:t>0.00</w:t>
            </w:r>
          </w:p>
        </w:tc>
        <w:tc>
          <w:tcPr>
            <w:tcW w:w="1182" w:type="dxa"/>
            <w:vAlign w:val="center"/>
          </w:tcPr>
          <w:p>
            <w:pPr>
              <w:widowControl/>
              <w:jc w:val="right"/>
              <w:rPr>
                <w:rFonts w:ascii="宋体" w:hAnsi="宋体" w:cs="宋体"/>
                <w:kern w:val="0"/>
              </w:rPr>
            </w:pPr>
            <w:r>
              <w:rPr>
                <w:rFonts w:ascii="宋体" w:hAnsi="宋体" w:cs="宋体"/>
                <w:kern w:val="0"/>
              </w:rPr>
              <w:t>00</w:t>
            </w:r>
          </w:p>
        </w:tc>
        <w:tc>
          <w:tcPr>
            <w:tcW w:w="1171" w:type="dxa"/>
            <w:vAlign w:val="center"/>
          </w:tcPr>
          <w:p>
            <w:pPr>
              <w:widowControl/>
              <w:jc w:val="right"/>
              <w:rPr>
                <w:rFonts w:ascii="宋体" w:hAnsi="宋体" w:cs="宋体"/>
                <w:kern w:val="0"/>
              </w:rPr>
            </w:pPr>
            <w:r>
              <w:rPr>
                <w:rFonts w:hint="eastAsia" w:ascii="宋体" w:hAnsi="宋体" w:cs="宋体"/>
                <w:kern w:val="0"/>
              </w:rPr>
              <w:t>0.00</w:t>
            </w:r>
          </w:p>
        </w:tc>
      </w:tr>
    </w:tbl>
    <w:p>
      <w:pPr>
        <w:spacing w:line="288" w:lineRule="auto"/>
      </w:pPr>
      <w:r>
        <w:rPr>
          <w:rFonts w:hint="eastAsia" w:ascii="宋体" w:hAnsi="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yZTI4MzM0YTkzY2E0ZjI4ZmNlMGIxODNmMTM1YjEifQ=="/>
  </w:docVars>
  <w:rsids>
    <w:rsidRoot w:val="07B46C8C"/>
    <w:rsid w:val="000457A1"/>
    <w:rsid w:val="00360DF8"/>
    <w:rsid w:val="0043453B"/>
    <w:rsid w:val="006D51E2"/>
    <w:rsid w:val="07B46C8C"/>
    <w:rsid w:val="32783593"/>
    <w:rsid w:val="4C2169ED"/>
    <w:rsid w:val="7DFE1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843</Words>
  <Characters>908</Characters>
  <Lines>7</Lines>
  <Paragraphs>2</Paragraphs>
  <TotalTime>3</TotalTime>
  <ScaleCrop>false</ScaleCrop>
  <LinksUpToDate>false</LinksUpToDate>
  <CharactersWithSpaces>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2023-10-19T09:37:56Z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8735989937DA47C89ADEE581F3D00761_11</vt:lpwstr>
  </property>
</Properties>
</file>