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20" w:lineRule="exact"/>
        <w:jc w:val="righ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20" w:lineRule="exact"/>
        <w:jc w:val="righ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20" w:lineRule="exact"/>
        <w:jc w:val="righ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20" w:lineRule="exact"/>
        <w:jc w:val="right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徐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民〔202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  <w:lang w:val="en-US" w:eastAsia="zh-CN"/>
        </w:rPr>
        <w:t>徐闻县民政局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  <w:lang w:eastAsia="zh-CN"/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  <w:lang w:val="en-US" w:eastAsia="zh-CN"/>
        </w:rPr>
        <w:t>各乡镇（街道）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  <w:lang w:eastAsia="zh-CN"/>
        </w:rPr>
        <w:t>成立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  <w:lang w:eastAsia="zh-CN"/>
        </w:rPr>
        <w:t>未成年人保护工作站的通知</w:t>
      </w:r>
    </w:p>
    <w:bookmarkEnd w:id="0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各乡镇（街道）人民政府（办事处）：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根据《未成年人保护法》有关规定，为进一步做好未成年人保护工作，按照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《湛江市民政局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关于印发湛江市未成年人保护工作站建设工作方案的通知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》（湛民福〔202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92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号）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要求，为加快推进我县各乡镇（街道）未成年人保护工作站（以下简称未保站）建设工作，现将未保站建设有关要求通知如下：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一、2023年8月底前我县各乡镇（街道）全部完成未成年人保护工作站挂牌工作。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二、各乡镇（街道）制定未成年人保护工作站实施方案、未保站人员组成名单、儿童督导员以及儿童主任人员组成名单等有关文件（详细参照附件），于2023年8月底前上报我局。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附件：1、《XX镇（街）未成年人保护工作站实施方案》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600" w:firstLineChars="5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2、《XX镇（街）未成年人保护工作站人员组成名单》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  3、《XX镇（街）儿童督导员以及儿童主任人员组成名单》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                                         徐闻县民政局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2023年8月21日</w:t>
      </w:r>
    </w:p>
    <w:p>
      <w:pP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附件1</w:t>
      </w:r>
    </w:p>
    <w:p>
      <w:pPr>
        <w:pStyle w:val="2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36"/>
          <w:szCs w:val="36"/>
          <w:lang w:val="en-US" w:eastAsia="zh-CN" w:bidi="ar-SA"/>
        </w:rPr>
      </w:pPr>
    </w:p>
    <w:p>
      <w:pPr>
        <w:pStyle w:val="2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36"/>
          <w:szCs w:val="36"/>
          <w:lang w:val="en-US" w:eastAsia="zh-CN" w:bidi="ar-SA"/>
        </w:rPr>
        <w:t>XX镇（街）未成年人保护工作站实施方案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镇(街)层面建立未成年人保护工作站(以下简称未保站)是做好未成年人保护“最后一公里”服务的有效载体，是贯彻落实新修订实施的《中华人民共和国未成年人保护法》和开展未成年人保护工作的重要阵地和工作抓手，为进一步加快推进我镇(街)未保站建设，制定本工作方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一、主要目的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以习近平新时代中国特色社会主义思想为指导，以贯彻落实《中华人民共和国未成年人保护法》为着力点，全力推进未成年人保护工作，努力将未成年人保护工作站建设成为基础设施达标、制度流程完善、服务管理规范的未成年人服务场所，确保未成年人保护工作有人干、活动有场地、诉求有渠道、解困有平台，未成年人的生存权、发展权、受保护权、参与权等权利得到更加充分保障。</w:t>
      </w:r>
    </w:p>
    <w:p>
      <w:pPr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工作原则</w:t>
      </w:r>
    </w:p>
    <w:p>
      <w:pPr>
        <w:ind w:firstLine="643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(一)儿童优先，保护权益。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坚持未成年人利益最大化原则，优先考虑未成年人的需求和权利，保护未成年人合法权益。</w:t>
      </w:r>
    </w:p>
    <w:p>
      <w:pPr>
        <w:ind w:firstLine="643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(二)家庭尽责，政府兜底。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明确家庭、政府对未成年人的保护责任，立足完善家庭功能，引导家庭尽责，关注未成年人家庭监护状况与监护能力。视情况及时启动监护干预工作。</w:t>
      </w:r>
    </w:p>
    <w:p>
      <w:pPr>
        <w:ind w:firstLine="643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(三)需求牵引，因人施策。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以未成年人及其家庭的需求为引导，结合未成年人及其家庭的情况，制定有针对性的服务策略，做到“一人一策略”“一事一方案”。</w:t>
      </w:r>
    </w:p>
    <w:p>
      <w:pPr>
        <w:ind w:firstLine="643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(四)及时干预，尊重隐私。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对需要干预的未成年人第一时间介入开展服务工作，在服务过程中尊重和保护未成年人的隐私。</w:t>
      </w:r>
    </w:p>
    <w:p>
      <w:pPr>
        <w:ind w:firstLine="643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(五)专业为本，社会参与。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综合运用“双百”社工、心理咨询、艺术干预等专业机构、专业人员、专业手法开展服务，注重和引导社会力量参与未成年人保护工作。</w:t>
      </w:r>
    </w:p>
    <w:p>
      <w:pPr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三、工作职责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未保站是指在镇(街)设立的办理未成年人相关事务、保护未成年人身心健康、保障未成年人合法权益的执行机构和服务场所。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二）</w:t>
      </w:r>
      <w:r>
        <w:rPr>
          <w:rFonts w:hint="eastAsia" w:ascii="仿宋_GB2312" w:hAnsi="仿宋_GB2312" w:eastAsia="仿宋_GB2312" w:cs="仿宋_GB2312"/>
          <w:sz w:val="32"/>
          <w:szCs w:val="32"/>
        </w:rPr>
        <w:t>未保站围绕《未保法》明确的“六大保护”，以镇(街)辖区内未成年人及其家庭为服务对象，落实基本生活、医疗、教育、司法、福利服务等相关保障，推动辖区未成年人关爱保护服务联动机制建立，链接和引入未成年人保护专业人才、政策、服务等资源，指导村(居)民委员会等基层群众性自治组织依法开展工作。</w:t>
      </w:r>
    </w:p>
    <w:p>
      <w:pPr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四、工作内容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(一)落实未保责任。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未成年人保护工作站设在镇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（街）公共服务办，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设立一个“未成年人服务”接待窗口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由分管民政工作的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副职领导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兼任未成年人保护工作站站长，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公共服务办主任兼任副站长，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公共服务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负责儿童福利工作的人员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具体负责办理相关事务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落实镇(街)范围内的未成年人保护和儿童福利相关工作，接待政策咨询，协助申请办理各类未成年人救助和福利事项，指导村(居)委依法开展具体工作。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(二)督导摸底排查。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督促指导儿童主任对辖区内未成年人进行入户走访，主动发现、排查有家庭困难、身体(心理)有疾以及因各种原因导致监护缺失的未成年人情况，同时对散居孤儿、困境儿童、艾滋病病毒感染儿童进行走访慰问，做好信息收集，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建立服务台账，用于记载未成年人保护相关工作,包括接待工作台账、未成年人救助保护台账、农村留守儿童台账、困境儿童台账、孤儿和事实无人抚养儿童台账等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做好全国儿童福利信息系统的数据更新和维护，加强动态管理。</w:t>
      </w:r>
    </w:p>
    <w:p>
      <w:pPr>
        <w:ind w:firstLine="643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(三)开展风险评估。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通过摸底排查，梳理辖区内困境未成年人资料，并对家庭监护情况、遭受不法侵害的风险、犯罪预防等方面开展风险评估，协助做好“一人一档”信息登记并定期探访，同时更新风险评估情况。</w:t>
      </w:r>
    </w:p>
    <w:p>
      <w:pPr>
        <w:ind w:firstLine="643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(四)履行强制报告。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对辖区内发现未成年人疑似遭受各类不法侵害等情况，第一时间向公安派出所及镇(街)报告，履行强制报告义务，并做好登记。</w:t>
      </w:r>
    </w:p>
    <w:p>
      <w:pPr>
        <w:ind w:firstLine="643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(五)提供专业服务。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策划、组织、实施“政策宣讲进村居”“湛江特慧爱”巡访关爱服务。为辖区内未成年人及其家庭开展政策法规宣传、家庭亲子教育、走访关爱等普适性服务。为辖区内困境儿童及其家庭开展需求评估，提供危机干预、监护评估、心理疏导、安全自护、个案处置、社会融入等服务和帮扶。</w:t>
      </w:r>
    </w:p>
    <w:p>
      <w:pPr>
        <w:ind w:firstLine="643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(六)链接社会资源。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以未成年人需求为导向，链接和引入辖区内外各方面政策、人才、资金、物资、服务等资源，最大限度回应未成年人及其家庭需求。培育孵化本土儿童类社会组织，开展未成年人保护工作。组建“未成年人保护志愿服务队”，常态化开展涉及未成年人的宣传、讲座、活动等服务。引导辖区商家资源组建“防儿童走失商家联盟”，守住防儿童走失第一道关口，及时对儿童提供各种帮助。主动联系对接关工委，充分发挥老干部、老战士、老专家、老教师、老模范等老同志优势作用，参与农村留守儿童和困境儿童关爱保护，开展“结对关爱”帮扶活动。</w:t>
      </w:r>
    </w:p>
    <w:p>
      <w:pPr>
        <w:ind w:firstLine="643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(七)定期分析报告。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定期分析本地未成年人保护工作形势，研究对策措施，每半年向上一级未成年人保护工作领导小组(委员会)办公室汇报未成年人保护工作开展情况。</w:t>
      </w:r>
    </w:p>
    <w:p>
      <w:pPr>
        <w:ind w:firstLine="643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(八)做好宣传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培训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多渠道宣传未成年人保护法律法规、未保站工作内容等，提升群众对未保站的认知度和未成年人保护工作的重视度。协助对未成年人保护项目人员、儿童主任、未保志愿者进行管理和培训。</w:t>
      </w:r>
    </w:p>
    <w:p>
      <w:pPr>
        <w:ind w:firstLine="643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(九)擦亮特色品牌。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结合辖区特点和未成年人保护工作实际，统筹各方资源。打造未成年人保护工作经验亮点，建立健全巡访关爱服务体系，擦亮“湛江特慧爱”特色品牌。</w:t>
      </w:r>
    </w:p>
    <w:p>
      <w:pPr>
        <w:pStyle w:val="2"/>
        <w:ind w:left="0" w:leftChars="0" w:firstLine="640" w:firstLineChars="200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</w:rPr>
        <w:t>五、工作措施</w:t>
      </w:r>
    </w:p>
    <w:p>
      <w:pPr>
        <w:pStyle w:val="2"/>
        <w:ind w:left="0" w:leftChars="0"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eastAsia="zh-CN"/>
        </w:rPr>
        <w:t>（</w:t>
      </w:r>
      <w:r>
        <w:rPr>
          <w:rFonts w:hint="eastAsia" w:ascii="仿宋_GB2312" w:hAnsi="仿宋_GB2312" w:eastAsia="仿宋_GB2312" w:cs="仿宋_GB2312"/>
          <w:lang w:val="en-US" w:eastAsia="zh-CN"/>
        </w:rPr>
        <w:t>一）</w:t>
      </w:r>
      <w:r>
        <w:rPr>
          <w:rFonts w:hint="eastAsia" w:ascii="仿宋_GB2312" w:hAnsi="仿宋_GB2312" w:eastAsia="仿宋_GB2312" w:cs="仿宋_GB2312"/>
        </w:rPr>
        <w:t>制定完善工作人员制度规范，包括未保站人员岗位职责、工作内容、工作流程、工作考勤和轮值制度、考核制度、设施设备管理制度等。</w:t>
      </w:r>
    </w:p>
    <w:p>
      <w:pPr>
        <w:pStyle w:val="2"/>
        <w:ind w:left="0" w:leftChars="0"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(二)制定完善服务对象制度规范，包括未成年人档案管理制度、未成年人临时监护制度、未成年人定期访视制度、侵害未成年人案件强制报告制度、未成年人安全和隐私保护制度等。</w:t>
      </w:r>
    </w:p>
    <w:p>
      <w:pPr>
        <w:pStyle w:val="2"/>
        <w:ind w:left="0" w:leftChars="0"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(三)建立镇(街)儿童议事会制度，开展内容丰富、形式多样的儿童议事活动，倾听儿童声音，吸纳儿童建议，尊重儿童需求，增进儿童对自身权利和义务的了解，维护儿童发展和参与权利，促进儿童健康成长。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六、工作要求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（一）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高起点谋划。未成年保护工作站是落实“政府保护”的关键环节，是未成年人保护工作面向基层的重要平台，要高度重视未成年人保护工作站的设置工作。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高质量设置。要因地制宜、突出特点、打造亮点，按照标准化、规范化的要求完善软硬件设施，建立健全基本运行机制和工作制度，完善各项规章规范，高质量推进工作站设置。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（三）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高标准服务。未成年人保护工作站建成后，要高质量开展评估接待、帮扶解困、权益保障等工作，积极提供规范化、标准化、精准化服务，着力推动未成年人保护工作体系迈入新台阶。</w:t>
      </w:r>
    </w:p>
    <w:p>
      <w:pPr>
        <w:pStyle w:val="2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XX乡镇（街道）人民政府（办事处）</w:t>
      </w:r>
    </w:p>
    <w:p>
      <w:pPr>
        <w:pStyle w:val="2"/>
        <w:ind w:firstLine="5120" w:firstLineChars="16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2023年X月X日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附件2</w:t>
      </w:r>
    </w:p>
    <w:p>
      <w:pPr>
        <w:pStyle w:val="2"/>
        <w:rPr>
          <w:rFonts w:hint="eastAsia"/>
          <w:color w:val="auto"/>
          <w:lang w:val="en-US" w:eastAsia="zh-CN"/>
        </w:rPr>
      </w:pPr>
    </w:p>
    <w:p>
      <w:pPr>
        <w:pStyle w:val="2"/>
        <w:ind w:left="0" w:leftChars="0" w:firstLine="0" w:firstLineChars="0"/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color w:val="auto"/>
          <w:kern w:val="0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36"/>
          <w:szCs w:val="36"/>
          <w:lang w:val="en-US" w:eastAsia="zh-CN" w:bidi="ar-SA"/>
        </w:rPr>
        <w:t>XXX镇（街道）未成年人保护工作站人员组成名单</w:t>
      </w:r>
    </w:p>
    <w:p>
      <w:pP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36"/>
          <w:szCs w:val="36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站  长：XXX   分管民政工作领导的职务</w:t>
      </w:r>
    </w:p>
    <w:p>
      <w:pPr>
        <w:ind w:firstLine="640" w:firstLineChars="200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副站长：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XXX   XX镇公共服务办主任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 xml:space="preserve">成  员：XXX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920" w:firstLineChars="6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 xml:space="preserve">XXX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未成年人保护工作站办公室设在公共服务办，办公室主任由XXX（站长姓名）同志担任，成员为XXX，具体工作由公共服务办公室负责办理未成年人相关事务。</w:t>
      </w:r>
    </w:p>
    <w:p>
      <w:pPr>
        <w:pStyle w:val="2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XX乡镇（街道）人民政府（办事处）</w:t>
      </w:r>
    </w:p>
    <w:p>
      <w:pPr>
        <w:pStyle w:val="2"/>
        <w:ind w:firstLine="5120" w:firstLineChars="16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2023年8月X日</w:t>
      </w: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color w:val="auto"/>
          <w:lang w:val="en-US" w:eastAsia="zh-CN"/>
        </w:rPr>
      </w:pPr>
    </w:p>
    <w:p>
      <w:pPr>
        <w:rPr>
          <w:rFonts w:hint="default"/>
          <w:color w:val="auto"/>
          <w:lang w:val="en-US" w:eastAsia="zh-CN"/>
        </w:rPr>
      </w:pPr>
    </w:p>
    <w:p>
      <w:pPr>
        <w:pStyle w:val="2"/>
        <w:rPr>
          <w:rFonts w:hint="default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附件3</w:t>
      </w:r>
    </w:p>
    <w:p>
      <w:pPr>
        <w:jc w:val="center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XX镇（街）儿童督导员以及儿童主任人员组成名单</w:t>
      </w: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儿童督导员：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XXX   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XX镇（街）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XX职务）</w:t>
      </w:r>
    </w:p>
    <w:p>
      <w:pPr>
        <w:pStyle w:val="2"/>
        <w:ind w:left="0" w:leftChars="0" w:firstLine="640" w:firstLineChars="200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儿童主任：  XXX    （XX村XX职务）</w:t>
      </w:r>
    </w:p>
    <w:p>
      <w:pPr>
        <w:ind w:firstLine="2560" w:firstLineChars="800"/>
        <w:jc w:val="both"/>
        <w:rPr>
          <w:rFonts w:hint="eastAsia" w:ascii="仿宋_GB2312" w:hAnsi="仿宋_GB2312" w:eastAsia="仿宋_GB2312" w:cs="仿宋_GB2312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XXX    （XX村XX职务）</w:t>
      </w:r>
    </w:p>
    <w:p>
      <w:pPr>
        <w:jc w:val="center"/>
        <w:rPr>
          <w:rFonts w:hint="default" w:ascii="仿宋_GB2312" w:hAnsi="仿宋_GB2312" w:eastAsia="仿宋_GB2312" w:cs="仿宋_GB2312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6"/>
          <w:szCs w:val="36"/>
          <w:lang w:val="en-US" w:eastAsia="zh-CN"/>
        </w:rPr>
        <w:t>……</w:t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XX乡镇（街道）人民政府（办事处）</w:t>
      </w:r>
    </w:p>
    <w:p>
      <w:pPr>
        <w:pStyle w:val="2"/>
        <w:ind w:firstLine="5120" w:firstLineChars="16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2023年8月X日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sectPr>
      <w:pgSz w:w="11906" w:h="16838"/>
      <w:pgMar w:top="1440" w:right="1349" w:bottom="1440" w:left="134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lMTQzNjk0NjRjNGU3MTI3ZDU0ZTE3ODVmM2E0ZWEifQ=="/>
  </w:docVars>
  <w:rsids>
    <w:rsidRoot w:val="6E3D0AF6"/>
    <w:rsid w:val="03011BBD"/>
    <w:rsid w:val="0B8B771E"/>
    <w:rsid w:val="0BFC1173"/>
    <w:rsid w:val="0CC14483"/>
    <w:rsid w:val="0D250D19"/>
    <w:rsid w:val="0E2D11A1"/>
    <w:rsid w:val="119105B0"/>
    <w:rsid w:val="138403CC"/>
    <w:rsid w:val="1C6E1C1A"/>
    <w:rsid w:val="1CA7512B"/>
    <w:rsid w:val="1F1F369F"/>
    <w:rsid w:val="24780155"/>
    <w:rsid w:val="27C546B8"/>
    <w:rsid w:val="301651EF"/>
    <w:rsid w:val="32403110"/>
    <w:rsid w:val="372E4A93"/>
    <w:rsid w:val="38896D41"/>
    <w:rsid w:val="3BB84807"/>
    <w:rsid w:val="43607634"/>
    <w:rsid w:val="4AB50890"/>
    <w:rsid w:val="4F1A19B6"/>
    <w:rsid w:val="55F36710"/>
    <w:rsid w:val="56C51AF2"/>
    <w:rsid w:val="58A957AC"/>
    <w:rsid w:val="5C8E3888"/>
    <w:rsid w:val="5F225C82"/>
    <w:rsid w:val="68E80164"/>
    <w:rsid w:val="6E3D0AF6"/>
    <w:rsid w:val="6F59718C"/>
    <w:rsid w:val="6F723E42"/>
    <w:rsid w:val="70E305A1"/>
    <w:rsid w:val="772D0ABC"/>
    <w:rsid w:val="7A4A4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 w:firstLineChars="200"/>
    </w:pPr>
    <w:rPr>
      <w:rFonts w:ascii="Times New Roman" w:hAnsi="Times New Roman" w:cs="Times New Roman"/>
      <w:sz w:val="32"/>
      <w:szCs w:val="24"/>
    </w:r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  <w:rPr>
      <w:rFonts w:ascii="Times New Roman" w:hAnsi="Times New Roman" w:eastAsia="宋体" w:cs="Times New Roman"/>
      <w:sz w:val="30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3204</Words>
  <Characters>3265</Characters>
  <Lines>0</Lines>
  <Paragraphs>0</Paragraphs>
  <TotalTime>169</TotalTime>
  <ScaleCrop>false</ScaleCrop>
  <LinksUpToDate>false</LinksUpToDate>
  <CharactersWithSpaces>3379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2023-07-31T03:14:00Z</dcterms:created>
  <dc:creator>D77</dc:creator>
  <cp:lastModifiedBy>妮妮</cp:lastModifiedBy>
  <cp:lastPrinted>2023-08-21T07:38:00Z</cp:lastPrinted>
  <dcterms:modified xsi:type="dcterms:W3CDTF">2023-09-18T03:36:27Z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40F4DD1C3F094185816EE9303354B40B_13</vt:lpwstr>
  </property>
</Properties>
</file>