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32"/>
          <w:szCs w:val="32"/>
          <w:shd w:val="clear" w:color="auto" w:fill="FFFFFF"/>
        </w:rPr>
      </w:pPr>
      <w:r>
        <w:rPr>
          <w:rFonts w:hint="eastAsia" w:asciiTheme="majorEastAsia" w:hAnsiTheme="majorEastAsia" w:eastAsiaTheme="majorEastAsia" w:cstheme="majorEastAsia"/>
          <w:b/>
          <w:bCs/>
          <w:color w:val="000000"/>
          <w:sz w:val="32"/>
          <w:szCs w:val="32"/>
          <w:shd w:val="clear" w:color="auto" w:fill="FFFFFF"/>
        </w:rPr>
        <w:t>湛江市</w:t>
      </w:r>
      <w:r>
        <w:rPr>
          <w:rFonts w:hint="eastAsia" w:ascii="宋体" w:hAnsi="宋体" w:cs="宋体"/>
          <w:b/>
          <w:bCs/>
          <w:color w:val="000000"/>
          <w:sz w:val="32"/>
          <w:szCs w:val="32"/>
          <w:shd w:val="clear" w:color="auto" w:fill="FFFFFF"/>
        </w:rPr>
        <w:t>零售药店申请定点协议管理</w:t>
      </w:r>
    </w:p>
    <w:p>
      <w:pPr>
        <w:jc w:val="center"/>
        <w:rPr>
          <w:rFonts w:asciiTheme="majorEastAsia" w:hAnsiTheme="majorEastAsia" w:eastAsiaTheme="majorEastAsia" w:cstheme="majorEastAsia"/>
          <w:b/>
          <w:bCs/>
          <w:color w:val="000000"/>
          <w:sz w:val="32"/>
          <w:szCs w:val="32"/>
          <w:shd w:val="clear" w:color="auto" w:fill="FFFFFF"/>
        </w:rPr>
      </w:pPr>
      <w:r>
        <w:rPr>
          <w:rFonts w:hint="eastAsia" w:asciiTheme="majorEastAsia" w:hAnsiTheme="majorEastAsia" w:eastAsiaTheme="majorEastAsia" w:cstheme="majorEastAsia"/>
          <w:b/>
          <w:bCs/>
          <w:color w:val="000000"/>
          <w:sz w:val="32"/>
          <w:szCs w:val="32"/>
          <w:shd w:val="clear" w:color="auto" w:fill="FFFFFF"/>
        </w:rPr>
        <w:t>办事指南</w:t>
      </w:r>
    </w:p>
    <w:p>
      <w:pPr>
        <w:jc w:val="center"/>
        <w:rPr>
          <w:rFonts w:ascii="楷体" w:hAnsi="楷体" w:eastAsia="楷体" w:cs="楷体"/>
          <w:szCs w:val="21"/>
        </w:rPr>
      </w:pPr>
      <w:r>
        <w:rPr>
          <w:rFonts w:hint="eastAsia" w:ascii="楷体" w:hAnsi="楷体" w:eastAsia="楷体" w:cs="楷体"/>
          <w:color w:val="000000"/>
          <w:szCs w:val="21"/>
          <w:shd w:val="clear" w:color="auto" w:fill="FFFFFF"/>
        </w:rPr>
        <w:t>（2021年</w:t>
      </w:r>
      <w:r>
        <w:rPr>
          <w:rFonts w:hint="eastAsia" w:ascii="楷体" w:hAnsi="楷体" w:eastAsia="楷体" w:cs="楷体"/>
          <w:color w:val="000000"/>
          <w:szCs w:val="21"/>
          <w:shd w:val="clear" w:color="auto" w:fill="FFFFFF"/>
          <w:lang w:val="en-US" w:eastAsia="zh-CN"/>
        </w:rPr>
        <w:t>10</w:t>
      </w:r>
      <w:r>
        <w:rPr>
          <w:rFonts w:hint="eastAsia" w:ascii="楷体" w:hAnsi="楷体" w:eastAsia="楷体" w:cs="楷体"/>
          <w:color w:val="000000"/>
          <w:szCs w:val="21"/>
          <w:shd w:val="clear" w:color="auto" w:fill="FFFFFF"/>
        </w:rPr>
        <w:t>月修订）</w:t>
      </w:r>
    </w:p>
    <w:p/>
    <w:p>
      <w:pPr>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办理对象</w:t>
      </w:r>
    </w:p>
    <w:p>
      <w:pPr>
        <w:ind w:firstLine="480" w:firstLineChars="200"/>
        <w:rPr>
          <w:rFonts w:cs="Helvetica" w:asciiTheme="minorEastAsia" w:hAnsiTheme="minorEastAsia"/>
          <w:color w:val="000000"/>
          <w:sz w:val="24"/>
          <w:szCs w:val="24"/>
          <w:shd w:val="clear" w:color="auto" w:fill="FFFFFF"/>
        </w:rPr>
      </w:pPr>
      <w:r>
        <w:rPr>
          <w:rFonts w:hint="eastAsia" w:ascii="仿宋" w:hAnsi="仿宋" w:eastAsia="仿宋" w:cs="仿宋"/>
          <w:color w:val="000000"/>
          <w:sz w:val="24"/>
          <w:szCs w:val="24"/>
          <w:shd w:val="clear" w:color="auto" w:fill="FFFFFF"/>
        </w:rPr>
        <w:t>湛江市需要申请定点协议管理的零售药店</w:t>
      </w:r>
    </w:p>
    <w:p>
      <w:pPr>
        <w:ind w:firstLine="482" w:firstLineChars="200"/>
        <w:rPr>
          <w:rFonts w:asciiTheme="minorEastAsia" w:hAnsiTheme="minorEastAsia"/>
          <w:b/>
          <w:sz w:val="24"/>
          <w:szCs w:val="24"/>
        </w:rPr>
      </w:pPr>
      <w:r>
        <w:rPr>
          <w:rFonts w:hint="eastAsia" w:asciiTheme="minorEastAsia" w:hAnsiTheme="minorEastAsia"/>
          <w:b/>
          <w:sz w:val="24"/>
          <w:szCs w:val="24"/>
        </w:rPr>
        <w:t>办理条件</w:t>
      </w:r>
    </w:p>
    <w:p>
      <w:pPr>
        <w:ind w:firstLine="480" w:firstLineChars="200"/>
        <w:rPr>
          <w:rFonts w:ascii="仿宋" w:hAnsi="仿宋" w:eastAsia="仿宋" w:cs="仿宋"/>
          <w:sz w:val="24"/>
          <w:szCs w:val="24"/>
        </w:rPr>
      </w:pPr>
      <w:r>
        <w:rPr>
          <w:rFonts w:hint="eastAsia" w:ascii="仿宋" w:hAnsi="仿宋" w:eastAsia="仿宋" w:cs="仿宋"/>
          <w:sz w:val="24"/>
          <w:szCs w:val="24"/>
        </w:rPr>
        <w:t>已取得药品经营许可证，并同时符合以下条件的零售药店均可申请医疗保障定点：</w:t>
      </w:r>
    </w:p>
    <w:p>
      <w:pPr>
        <w:ind w:left="480"/>
        <w:rPr>
          <w:rFonts w:ascii="仿宋" w:hAnsi="仿宋" w:eastAsia="仿宋" w:cs="仿宋"/>
          <w:sz w:val="24"/>
          <w:szCs w:val="24"/>
        </w:rPr>
      </w:pPr>
      <w:r>
        <w:rPr>
          <w:rFonts w:hint="eastAsia" w:ascii="仿宋" w:hAnsi="仿宋" w:eastAsia="仿宋" w:cs="仿宋"/>
          <w:sz w:val="24"/>
          <w:szCs w:val="24"/>
        </w:rPr>
        <w:t>1、在注册地址正式经营至少3个月；</w:t>
      </w:r>
    </w:p>
    <w:p>
      <w:pPr>
        <w:ind w:firstLine="480" w:firstLineChars="200"/>
        <w:jc w:val="left"/>
        <w:rPr>
          <w:rFonts w:ascii="仿宋" w:hAnsi="仿宋" w:eastAsia="仿宋" w:cs="仿宋"/>
          <w:sz w:val="24"/>
          <w:szCs w:val="24"/>
        </w:rPr>
      </w:pPr>
      <w:r>
        <w:rPr>
          <w:rFonts w:hint="eastAsia" w:ascii="仿宋" w:hAnsi="仿宋" w:eastAsia="仿宋" w:cs="仿宋"/>
          <w:sz w:val="24"/>
          <w:szCs w:val="24"/>
        </w:rPr>
        <w:t>2、至少有1名取得执业药师资格证书或具有药学、临床药学、中药学专业技术资格证书的药师，且注册地在该零售药店所在地，药师须签订1年以上劳动合同且在合同期内；</w:t>
      </w:r>
    </w:p>
    <w:p>
      <w:pPr>
        <w:ind w:firstLine="480" w:firstLineChars="200"/>
        <w:rPr>
          <w:rFonts w:ascii="仿宋" w:hAnsi="仿宋" w:eastAsia="仿宋" w:cs="仿宋"/>
          <w:sz w:val="24"/>
          <w:szCs w:val="24"/>
        </w:rPr>
      </w:pPr>
      <w:r>
        <w:rPr>
          <w:rFonts w:hint="eastAsia" w:ascii="仿宋" w:hAnsi="仿宋" w:eastAsia="仿宋" w:cs="仿宋"/>
          <w:sz w:val="24"/>
          <w:szCs w:val="24"/>
        </w:rPr>
        <w:t>3、至少有2名熟悉医疗保障法律法规和相关制度规定的专（兼）职医保管理人员负责管理医保费用，并签订1年以上劳动合同在合同期内；</w:t>
      </w:r>
    </w:p>
    <w:p>
      <w:pPr>
        <w:ind w:firstLine="480" w:firstLineChars="200"/>
        <w:rPr>
          <w:rFonts w:ascii="仿宋" w:hAnsi="仿宋" w:eastAsia="仿宋" w:cs="仿宋"/>
          <w:sz w:val="24"/>
          <w:szCs w:val="24"/>
        </w:rPr>
      </w:pPr>
      <w:r>
        <w:rPr>
          <w:rFonts w:hint="eastAsia" w:ascii="仿宋" w:hAnsi="仿宋" w:eastAsia="仿宋" w:cs="仿宋"/>
          <w:sz w:val="24"/>
          <w:szCs w:val="24"/>
        </w:rPr>
        <w:t>4、按药品经营质量管理规范要求，开展药品分类分区管理，并对所售药品设立明确的医保用药标识；</w:t>
      </w:r>
    </w:p>
    <w:p>
      <w:pPr>
        <w:ind w:firstLine="480" w:firstLineChars="200"/>
        <w:rPr>
          <w:rFonts w:ascii="仿宋" w:hAnsi="仿宋" w:eastAsia="仿宋" w:cs="仿宋"/>
          <w:sz w:val="24"/>
          <w:szCs w:val="24"/>
        </w:rPr>
      </w:pPr>
      <w:r>
        <w:rPr>
          <w:rFonts w:hint="eastAsia" w:ascii="仿宋" w:hAnsi="仿宋" w:eastAsia="仿宋" w:cs="仿宋"/>
          <w:sz w:val="24"/>
          <w:szCs w:val="24"/>
        </w:rPr>
        <w:t>5、具有符合医保协议管理要求的医保药品管理制度、财务管理制度、医保人员管理制度、统计信息管理制度和医保费用结算制度；</w:t>
      </w:r>
    </w:p>
    <w:p>
      <w:pPr>
        <w:ind w:firstLine="480" w:firstLineChars="200"/>
        <w:rPr>
          <w:rFonts w:ascii="仿宋" w:hAnsi="仿宋" w:eastAsia="仿宋" w:cs="仿宋"/>
          <w:sz w:val="24"/>
          <w:szCs w:val="24"/>
        </w:rPr>
      </w:pPr>
      <w:r>
        <w:rPr>
          <w:rFonts w:hint="eastAsia" w:ascii="仿宋" w:hAnsi="仿宋" w:eastAsia="仿宋" w:cs="仿宋"/>
          <w:sz w:val="24"/>
          <w:szCs w:val="24"/>
        </w:rPr>
        <w:t>6、具备符合医保协议管理要求的信息系统技术和接口标准，实现与医保信息系统有效对接，为参保人员提供直接联网结算，建立医保药品等基础数据库，按规定使用国家和省统一的医保编码；</w:t>
      </w:r>
    </w:p>
    <w:p>
      <w:pPr>
        <w:ind w:firstLine="480" w:firstLineChars="200"/>
        <w:rPr>
          <w:rFonts w:ascii="仿宋" w:hAnsi="仿宋" w:eastAsia="仿宋" w:cs="仿宋"/>
          <w:sz w:val="24"/>
          <w:szCs w:val="24"/>
        </w:rPr>
      </w:pPr>
      <w:r>
        <w:rPr>
          <w:rFonts w:hint="eastAsia" w:ascii="仿宋" w:hAnsi="仿宋" w:eastAsia="仿宋" w:cs="仿宋"/>
          <w:sz w:val="24"/>
          <w:szCs w:val="24"/>
        </w:rPr>
        <w:t>7、所有人员依法全部参加城镇职工基本医疗保险及其他社会保险，及时足额缴纳社会保险费。</w:t>
      </w:r>
    </w:p>
    <w:p>
      <w:pPr>
        <w:ind w:firstLine="480" w:firstLineChars="200"/>
        <w:rPr>
          <w:rFonts w:ascii="仿宋" w:hAnsi="仿宋" w:eastAsia="仿宋" w:cs="仿宋"/>
          <w:sz w:val="24"/>
          <w:szCs w:val="24"/>
        </w:rPr>
      </w:pPr>
      <w:r>
        <w:rPr>
          <w:rFonts w:hint="eastAsia" w:ascii="仿宋" w:hAnsi="仿宋" w:eastAsia="仿宋" w:cs="仿宋"/>
          <w:sz w:val="24"/>
          <w:szCs w:val="24"/>
        </w:rPr>
        <w:t>8、符合法律、法规、规章和省级及以上医疗保障行政部门规定的其他条件。</w:t>
      </w:r>
    </w:p>
    <w:p>
      <w:pPr>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受理单位</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湛江市</w:t>
      </w:r>
      <w:r>
        <w:rPr>
          <w:rFonts w:hint="eastAsia" w:ascii="仿宋" w:hAnsi="仿宋" w:eastAsia="仿宋" w:cs="仿宋"/>
          <w:sz w:val="24"/>
          <w:szCs w:val="24"/>
          <w:lang w:val="en-US" w:eastAsia="zh-CN"/>
        </w:rPr>
        <w:t>医疗保障事业管理中心</w:t>
      </w:r>
    </w:p>
    <w:p>
      <w:pPr>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各县（市）医保经办机构</w:t>
      </w:r>
      <w:r>
        <w:rPr>
          <w:rFonts w:hint="eastAsia" w:ascii="仿宋" w:hAnsi="仿宋" w:eastAsia="仿宋" w:cs="仿宋"/>
          <w:sz w:val="24"/>
          <w:szCs w:val="24"/>
        </w:rPr>
        <w:t xml:space="preserve">  </w:t>
      </w:r>
    </w:p>
    <w:p>
      <w:pPr>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基本流程</w:t>
      </w:r>
    </w:p>
    <w:p>
      <w:pPr>
        <w:ind w:firstLine="482" w:firstLineChars="200"/>
        <w:rPr>
          <w:rFonts w:ascii="楷体" w:hAnsi="楷体" w:eastAsia="楷体" w:cs="楷体"/>
          <w:b/>
          <w:bCs/>
          <w:sz w:val="24"/>
          <w:szCs w:val="24"/>
        </w:rPr>
      </w:pPr>
      <w:r>
        <w:rPr>
          <w:rFonts w:hint="eastAsia" w:ascii="楷体" w:hAnsi="楷体" w:eastAsia="楷体" w:cs="楷体"/>
          <w:b/>
          <w:bCs/>
          <w:sz w:val="24"/>
          <w:szCs w:val="24"/>
        </w:rPr>
        <w:t>一、窗口办理流程</w:t>
      </w:r>
    </w:p>
    <w:p>
      <w:pPr>
        <w:spacing w:line="320" w:lineRule="exact"/>
        <w:ind w:firstLine="480" w:firstLineChars="20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rPr>
        <w:t>（一）前台受理工作人员收到零售药店提交的申请材料，便当场对药店的申请资格和申请材料的完整性进行检查。</w:t>
      </w:r>
      <w:r>
        <w:rPr>
          <w:rFonts w:hint="eastAsia" w:ascii="仿宋" w:hAnsi="仿宋" w:eastAsia="仿宋" w:cs="仿宋"/>
          <w:sz w:val="24"/>
          <w:szCs w:val="24"/>
        </w:rPr>
        <w:t>符合条件且申请材料完整的，应当场受理</w:t>
      </w:r>
      <w:r>
        <w:rPr>
          <w:rFonts w:hint="eastAsia" w:ascii="仿宋" w:hAnsi="仿宋" w:eastAsia="仿宋" w:cs="仿宋"/>
          <w:sz w:val="24"/>
          <w:szCs w:val="24"/>
          <w:lang w:val="en-US" w:eastAsia="zh-CN"/>
        </w:rPr>
        <w:t>并出具回执</w:t>
      </w:r>
      <w:r>
        <w:rPr>
          <w:rFonts w:hint="eastAsia" w:ascii="仿宋" w:hAnsi="仿宋" w:eastAsia="仿宋" w:cs="仿宋"/>
          <w:sz w:val="24"/>
          <w:szCs w:val="24"/>
        </w:rPr>
        <w:t>。</w:t>
      </w:r>
      <w:r>
        <w:rPr>
          <w:rFonts w:hint="eastAsia" w:ascii="仿宋" w:hAnsi="仿宋" w:eastAsia="仿宋" w:cs="仿宋"/>
          <w:color w:val="000000" w:themeColor="text1"/>
          <w:sz w:val="24"/>
          <w:szCs w:val="24"/>
        </w:rPr>
        <w:br w:type="textWrapping"/>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themeColor="text1"/>
          <w:sz w:val="24"/>
          <w:szCs w:val="24"/>
          <w:shd w:val="clear" w:color="auto" w:fill="FFFFFF"/>
        </w:rPr>
        <w:t>（二）后台工作人员对相关资料再次进行审核，</w:t>
      </w:r>
      <w:r>
        <w:rPr>
          <w:rFonts w:hint="eastAsia" w:ascii="仿宋" w:hAnsi="仿宋" w:eastAsia="仿宋" w:cs="仿宋"/>
          <w:color w:val="000000" w:themeColor="text1"/>
          <w:sz w:val="24"/>
          <w:szCs w:val="24"/>
        </w:rPr>
        <w:t>审核材料内容不全的，自收到材料之日起5个工作日内</w:t>
      </w:r>
      <w:r>
        <w:rPr>
          <w:rFonts w:hint="eastAsia" w:ascii="仿宋" w:hAnsi="仿宋" w:eastAsia="仿宋" w:cs="仿宋"/>
          <w:color w:val="000000" w:themeColor="text1"/>
          <w:kern w:val="0"/>
          <w:sz w:val="24"/>
          <w:szCs w:val="24"/>
        </w:rPr>
        <w:t>一次性告知</w:t>
      </w: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shd w:val="clear" w:color="auto" w:fill="FFFFFF"/>
        </w:rPr>
        <w:t>（三）成立评估小组，评估小组由相关部门和专家组成，对零售药店进行评估：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shd w:val="clear" w:color="auto" w:fill="FFFFFF"/>
        </w:rPr>
        <w:t>1、初评：社保经办机构组织评估组对零售药店提交的申请资料进行初评；</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shd w:val="clear" w:color="auto" w:fill="FFFFFF"/>
        </w:rPr>
        <w:t xml:space="preserve">    2、现场考察：一般分两至三个组，每组由评估小组相关人员组成，根据现场考察情况填写《湛江市市区申请医保定点零售药店资格核查表》，并将考察情况当场向零售药店在场负责人反馈；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shd w:val="clear" w:color="auto" w:fill="FFFFFF"/>
        </w:rPr>
        <w:t xml:space="preserve">    3、综合评估：根据初步评估和现场考察结果进行评估，汇总《湛江市市区申请医保定点零售药店资格核查表》情况，形成考察报告，评估小组提出评估意见，并签名确认；</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shd w:val="clear" w:color="auto" w:fill="FFFFFF"/>
        </w:rPr>
        <w:t>（四） 签订协议：</w:t>
      </w:r>
      <w:r>
        <w:rPr>
          <w:rFonts w:hint="eastAsia" w:ascii="仿宋" w:hAnsi="仿宋" w:eastAsia="仿宋" w:cs="仿宋"/>
          <w:color w:val="000000" w:themeColor="text1"/>
          <w:sz w:val="24"/>
          <w:szCs w:val="24"/>
          <w:shd w:val="clear" w:color="auto" w:fill="FFFFFF"/>
        </w:rPr>
        <w:t>评估结果分为合格和不合格。对于评估合格的零售药店，向社会公示，公示期为7个工作日，公示期间未收到举报或收到举报但经核查不影响评估结果的，纳入拟签订医保协议零售药店名单，零售药店负责人带公章到社保局开会签订协议。对于评估不合格的，告知其理由，提出整改建议。自评估结果告知送达之日起，整改3个月后可再次组织评估，评估仍不合格的，1年内不得再次申请。医保经办机构与评估合格拟签订协议的零售药店就双方的权利、义务和责任，以及零售药店的服务范围、服务内容、服务质量、支付标准、结算办法、异地就医管理、“互联网+”医保服务等协议内容协商谈判，达成一致的，双方自愿签订医保协议。医保协议期限一般为1年。</w:t>
      </w:r>
    </w:p>
    <w:p>
      <w:pPr>
        <w:tabs>
          <w:tab w:val="left" w:pos="475"/>
        </w:tabs>
        <w:ind w:firstLine="482" w:firstLineChars="200"/>
        <w:rPr>
          <w:rFonts w:ascii="楷体" w:hAnsi="楷体" w:eastAsia="楷体" w:cs="楷体"/>
          <w:b/>
          <w:bCs/>
          <w:sz w:val="24"/>
          <w:szCs w:val="24"/>
        </w:rPr>
      </w:pPr>
      <w:r>
        <w:rPr>
          <w:rFonts w:hint="eastAsia" w:ascii="楷体" w:hAnsi="楷体" w:eastAsia="楷体" w:cs="楷体"/>
          <w:b/>
          <w:bCs/>
          <w:sz w:val="24"/>
          <w:szCs w:val="24"/>
        </w:rPr>
        <w:t>二、网上办理流程：</w:t>
      </w:r>
    </w:p>
    <w:p>
      <w:pPr>
        <w:keepNext w:val="0"/>
        <w:keepLines w:val="0"/>
        <w:pageBreakBefore w:val="0"/>
        <w:widowControl w:val="0"/>
        <w:kinsoku/>
        <w:wordWrap/>
        <w:overflowPunct/>
        <w:topLinePunct w:val="0"/>
        <w:autoSpaceDE/>
        <w:autoSpaceDN/>
        <w:bidi w:val="0"/>
        <w:adjustRightInd/>
        <w:snapToGrid/>
        <w:ind w:left="479" w:leftChars="228"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（一）零售药店在广东省政务服务网上提交资料申请；</w:t>
      </w:r>
      <w:r>
        <w:rPr>
          <w:rFonts w:hint="eastAsia" w:ascii="仿宋" w:hAnsi="仿宋" w:eastAsia="仿宋" w:cs="仿宋"/>
          <w:sz w:val="24"/>
          <w:szCs w:val="24"/>
        </w:rPr>
        <w:br w:type="textWrapping"/>
      </w:r>
      <w:r>
        <w:rPr>
          <w:rFonts w:hint="eastAsia" w:ascii="仿宋" w:hAnsi="仿宋" w:eastAsia="仿宋" w:cs="仿宋"/>
          <w:sz w:val="24"/>
          <w:szCs w:val="24"/>
        </w:rPr>
        <w:t>（二）社保局对所提交的相关资料进行审核，审核通过的即时受理，审核材料内容不全的，自收</w:t>
      </w:r>
    </w:p>
    <w:p>
      <w:pPr>
        <w:keepNext w:val="0"/>
        <w:keepLines w:val="0"/>
        <w:pageBreakBefore w:val="0"/>
        <w:widowControl w:val="0"/>
        <w:kinsoku/>
        <w:wordWrap/>
        <w:overflowPunct/>
        <w:topLinePunct w:val="0"/>
        <w:autoSpaceDE/>
        <w:autoSpaceDN/>
        <w:bidi w:val="0"/>
        <w:adjustRightInd/>
        <w:snapToGrid/>
        <w:ind w:left="480" w:hanging="480" w:hanging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到</w:t>
      </w:r>
      <w:r>
        <w:rPr>
          <w:rFonts w:hint="eastAsia" w:ascii="仿宋" w:hAnsi="仿宋" w:eastAsia="仿宋" w:cs="仿宋"/>
          <w:sz w:val="24"/>
          <w:szCs w:val="24"/>
        </w:rPr>
        <w:t>材料之日起</w:t>
      </w:r>
      <w:r>
        <w:rPr>
          <w:rFonts w:hint="eastAsia" w:ascii="仿宋" w:hAnsi="仿宋" w:eastAsia="仿宋" w:cs="仿宋"/>
          <w:sz w:val="24"/>
          <w:szCs w:val="24"/>
          <w:lang w:val="en-US" w:eastAsia="zh-CN"/>
        </w:rPr>
        <w:t>5</w:t>
      </w:r>
      <w:r>
        <w:rPr>
          <w:rFonts w:hint="eastAsia" w:ascii="仿宋" w:hAnsi="仿宋" w:eastAsia="仿宋" w:cs="仿宋"/>
          <w:sz w:val="24"/>
          <w:szCs w:val="24"/>
        </w:rPr>
        <w:t>个工作日内一次性</w:t>
      </w:r>
      <w:r>
        <w:rPr>
          <w:rFonts w:hint="eastAsia" w:ascii="仿宋" w:hAnsi="仿宋" w:eastAsia="仿宋" w:cs="仿宋"/>
          <w:sz w:val="24"/>
          <w:szCs w:val="24"/>
          <w:lang w:val="en-US" w:eastAsia="zh-CN"/>
        </w:rPr>
        <w:t>告知；</w:t>
      </w:r>
      <w:r>
        <w:rPr>
          <w:rFonts w:hint="eastAsia" w:ascii="仿宋" w:hAnsi="仿宋" w:eastAsia="仿宋" w:cs="仿宋"/>
          <w:sz w:val="24"/>
          <w:szCs w:val="24"/>
        </w:rPr>
        <w:br w:type="textWrapping"/>
      </w:r>
      <w:r>
        <w:rPr>
          <w:rFonts w:hint="eastAsia" w:ascii="仿宋" w:hAnsi="仿宋" w:eastAsia="仿宋" w:cs="仿宋"/>
          <w:sz w:val="24"/>
          <w:szCs w:val="24"/>
        </w:rPr>
        <w:t>（三）成立评估小组，评估小组由相关部门和专家组成，对零售药店进行评估：</w:t>
      </w:r>
    </w:p>
    <w:p>
      <w:pPr>
        <w:ind w:left="479" w:leftChars="228"/>
        <w:jc w:val="left"/>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1、初评：社保经办机构组织评估组对零售药店提交的申请资料进行初评；</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shd w:val="clear" w:color="auto" w:fill="FFFFFF"/>
        </w:rPr>
        <w:t>2、现场考察：一般分两至三个组，每组由评估小组相关人员组成，根据现</w:t>
      </w:r>
    </w:p>
    <w:p>
      <w:pPr>
        <w:jc w:val="left"/>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场考察情况填写《湛江市市区申请医保定点零售药店资格核查表》，并将考察情况当场向零售药店在场负责人反馈；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shd w:val="clear" w:color="auto" w:fill="FFFFFF"/>
        </w:rPr>
        <w:t>3、综合评估：根据初步评估和现场考察结果进行评估，汇总《湛江市市区申请医保定点零售药店资格核查表》情况，形成考察报告，评估小组提出评估意见，并签名确认；</w:t>
      </w:r>
    </w:p>
    <w:p>
      <w:pPr>
        <w:ind w:firstLine="480" w:firstLineChars="200"/>
        <w:jc w:val="left"/>
        <w:rPr>
          <w:rFonts w:ascii="仿宋" w:hAnsi="仿宋" w:eastAsia="仿宋" w:cs="仿宋"/>
          <w:sz w:val="24"/>
          <w:szCs w:val="24"/>
        </w:rPr>
      </w:pPr>
      <w:r>
        <w:rPr>
          <w:rFonts w:hint="eastAsia" w:ascii="仿宋" w:hAnsi="仿宋" w:eastAsia="仿宋" w:cs="仿宋"/>
          <w:color w:val="000000"/>
          <w:sz w:val="24"/>
          <w:szCs w:val="24"/>
          <w:shd w:val="clear" w:color="auto" w:fill="FFFFFF"/>
        </w:rPr>
        <w:t>（四）签订协议：</w:t>
      </w:r>
      <w:r>
        <w:rPr>
          <w:rFonts w:hint="eastAsia" w:ascii="仿宋" w:hAnsi="仿宋" w:eastAsia="仿宋" w:cs="仿宋"/>
          <w:color w:val="000000" w:themeColor="text1"/>
          <w:sz w:val="24"/>
          <w:szCs w:val="24"/>
          <w:shd w:val="clear" w:color="auto" w:fill="FFFFFF"/>
        </w:rPr>
        <w:t>评估结果分为合格和不合格。对于评估合格的零售药店，向社会公示，公示期为7个工作日，公示期间未收到举报或收到举报但经核查不影响评估结果的，纳入拟签订医保协议零售药店名单，零售药店负责人带公章到社保局开会签订协议。对于评估不合格的，告知其理由，提出整改建议。自评估结果告知送达之日起，整改3个月后可再次组织评估，评估仍不合格的，1年内不得再次申请。医保经办机构与评估合格拟签订协议的零售药店就双方的权利、义务和责任，以及零售药店的服务范围、服务内容、服务质量、支付标准、结算办法、异地就医管理、“互联网+”医保服务等协议内容协商谈判，达成一致的，双方自愿签订医保协议。医保协议期限一般为1年。</w:t>
      </w:r>
    </w:p>
    <w:p>
      <w:pPr>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所需材料</w:t>
      </w:r>
    </w:p>
    <w:p>
      <w:pPr>
        <w:ind w:firstLine="480" w:firstLineChars="200"/>
        <w:rPr>
          <w:rFonts w:ascii="仿宋" w:hAnsi="仿宋" w:eastAsia="仿宋" w:cs="仿宋"/>
          <w:sz w:val="24"/>
          <w:szCs w:val="24"/>
        </w:rPr>
      </w:pPr>
      <w:r>
        <w:rPr>
          <w:rFonts w:hint="eastAsia" w:ascii="仿宋" w:hAnsi="仿宋" w:eastAsia="仿宋" w:cs="仿宋"/>
          <w:sz w:val="24"/>
          <w:szCs w:val="24"/>
        </w:rPr>
        <w:t>零售药店向医保经办机构提出医疗保障定点申请，应当提供以下材料：</w:t>
      </w:r>
    </w:p>
    <w:p>
      <w:pPr>
        <w:ind w:left="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湛江市医疗保障定点零售药店申请表</w:t>
      </w:r>
      <w:r>
        <w:rPr>
          <w:rFonts w:hint="eastAsia" w:ascii="仿宋" w:hAnsi="仿宋" w:eastAsia="仿宋" w:cs="仿宋"/>
          <w:sz w:val="24"/>
          <w:szCs w:val="24"/>
          <w:lang w:eastAsia="zh-CN"/>
        </w:rPr>
        <w:t>》</w:t>
      </w:r>
      <w:r>
        <w:rPr>
          <w:rFonts w:hint="eastAsia" w:ascii="仿宋" w:hAnsi="仿宋" w:eastAsia="仿宋" w:cs="仿宋"/>
          <w:sz w:val="24"/>
          <w:szCs w:val="24"/>
        </w:rPr>
        <w:t>；</w:t>
      </w:r>
    </w:p>
    <w:p>
      <w:pPr>
        <w:ind w:firstLine="480" w:firstLineChars="200"/>
        <w:rPr>
          <w:rFonts w:ascii="仿宋" w:hAnsi="仿宋" w:eastAsia="仿宋" w:cs="仿宋"/>
          <w:sz w:val="24"/>
          <w:szCs w:val="24"/>
        </w:rPr>
      </w:pPr>
      <w:r>
        <w:rPr>
          <w:rFonts w:hint="eastAsia" w:ascii="仿宋" w:hAnsi="仿宋" w:eastAsia="仿宋" w:cs="仿宋"/>
          <w:sz w:val="24"/>
          <w:szCs w:val="24"/>
        </w:rPr>
        <w:t>2、药品经营许可证、营业执照和法定代表人、主要负责人或实际控制人身份证复印件；</w:t>
      </w:r>
    </w:p>
    <w:p>
      <w:pPr>
        <w:ind w:left="480"/>
        <w:rPr>
          <w:rFonts w:ascii="仿宋" w:hAnsi="仿宋" w:eastAsia="仿宋" w:cs="仿宋"/>
          <w:sz w:val="24"/>
          <w:szCs w:val="24"/>
        </w:rPr>
      </w:pPr>
      <w:r>
        <w:rPr>
          <w:rFonts w:hint="eastAsia" w:ascii="仿宋" w:hAnsi="仿宋" w:eastAsia="仿宋" w:cs="仿宋"/>
          <w:sz w:val="24"/>
          <w:szCs w:val="24"/>
        </w:rPr>
        <w:t>3、执业药师资格证书或药学技术人员相关证书及其劳动合同复印件；</w:t>
      </w:r>
    </w:p>
    <w:p>
      <w:pPr>
        <w:ind w:left="480"/>
        <w:rPr>
          <w:rFonts w:ascii="仿宋" w:hAnsi="仿宋" w:eastAsia="仿宋" w:cs="仿宋"/>
          <w:sz w:val="24"/>
          <w:szCs w:val="24"/>
        </w:rPr>
      </w:pPr>
      <w:r>
        <w:rPr>
          <w:rFonts w:hint="eastAsia" w:ascii="仿宋" w:hAnsi="仿宋" w:eastAsia="仿宋" w:cs="仿宋"/>
          <w:sz w:val="24"/>
          <w:szCs w:val="24"/>
        </w:rPr>
        <w:t>4、医保专（兼）职管理人员的劳动合同复印件；</w:t>
      </w:r>
    </w:p>
    <w:p>
      <w:pPr>
        <w:ind w:left="480"/>
        <w:rPr>
          <w:rFonts w:ascii="仿宋" w:hAnsi="仿宋" w:eastAsia="仿宋" w:cs="仿宋"/>
          <w:sz w:val="24"/>
          <w:szCs w:val="24"/>
        </w:rPr>
      </w:pPr>
      <w:r>
        <w:rPr>
          <w:rFonts w:hint="eastAsia" w:ascii="仿宋" w:hAnsi="仿宋" w:eastAsia="仿宋" w:cs="仿宋"/>
          <w:sz w:val="24"/>
          <w:szCs w:val="24"/>
        </w:rPr>
        <w:t>5、与医疗保障政策对应的内部管理制度和财务制度文本；</w:t>
      </w:r>
    </w:p>
    <w:p>
      <w:pPr>
        <w:ind w:left="480"/>
        <w:rPr>
          <w:rFonts w:ascii="仿宋" w:hAnsi="仿宋" w:eastAsia="仿宋" w:cs="仿宋"/>
          <w:sz w:val="24"/>
          <w:szCs w:val="24"/>
        </w:rPr>
      </w:pPr>
      <w:r>
        <w:rPr>
          <w:rFonts w:hint="eastAsia" w:ascii="仿宋" w:hAnsi="仿宋" w:eastAsia="仿宋" w:cs="仿宋"/>
          <w:sz w:val="24"/>
          <w:szCs w:val="24"/>
        </w:rPr>
        <w:t>6、与医保有关的信息系统相关材料；</w:t>
      </w:r>
    </w:p>
    <w:p>
      <w:pPr>
        <w:ind w:left="480"/>
        <w:rPr>
          <w:rFonts w:ascii="仿宋" w:hAnsi="仿宋" w:eastAsia="仿宋" w:cs="仿宋"/>
          <w:sz w:val="24"/>
          <w:szCs w:val="24"/>
        </w:rPr>
      </w:pPr>
      <w:r>
        <w:rPr>
          <w:rFonts w:hint="eastAsia" w:ascii="仿宋" w:hAnsi="仿宋" w:eastAsia="仿宋" w:cs="仿宋"/>
          <w:sz w:val="24"/>
          <w:szCs w:val="24"/>
        </w:rPr>
        <w:t>7、纳入定点后使用医疗保障基金的预测性分析报告；</w:t>
      </w:r>
    </w:p>
    <w:p>
      <w:pPr>
        <w:ind w:firstLine="480" w:firstLineChars="200"/>
        <w:rPr>
          <w:rFonts w:ascii="仿宋" w:hAnsi="仿宋" w:eastAsia="仿宋" w:cs="仿宋"/>
          <w:sz w:val="24"/>
          <w:szCs w:val="24"/>
        </w:rPr>
      </w:pPr>
      <w:r>
        <w:rPr>
          <w:rFonts w:hint="eastAsia" w:ascii="仿宋" w:hAnsi="仿宋" w:eastAsia="仿宋" w:cs="仿宋"/>
          <w:sz w:val="24"/>
          <w:szCs w:val="24"/>
        </w:rPr>
        <w:t>8、全体员工申报上个月的城镇职工社会保险费电子转账专用完税证明或通用缴款书（全体员工参加社会保险的缴费凭证）；</w:t>
      </w:r>
    </w:p>
    <w:p>
      <w:pPr>
        <w:ind w:left="480"/>
        <w:rPr>
          <w:rFonts w:ascii="仿宋" w:hAnsi="仿宋" w:eastAsia="仿宋" w:cs="仿宋"/>
          <w:sz w:val="24"/>
          <w:szCs w:val="24"/>
        </w:rPr>
      </w:pPr>
      <w:r>
        <w:rPr>
          <w:rFonts w:hint="eastAsia" w:ascii="仿宋" w:hAnsi="仿宋" w:eastAsia="仿宋" w:cs="仿宋"/>
          <w:sz w:val="24"/>
          <w:szCs w:val="24"/>
        </w:rPr>
        <w:t>9、省级医疗保障行政部门按相关规定要求提供的其他材料。</w:t>
      </w:r>
    </w:p>
    <w:p>
      <w:pPr>
        <w:pStyle w:val="2"/>
        <w:ind w:firstLine="482" w:firstLineChars="200"/>
        <w:rPr>
          <w:rFonts w:hint="default" w:asciiTheme="minorEastAsia" w:hAnsiTheme="minorEastAsia" w:eastAsiaTheme="minorEastAsia" w:cstheme="minorEastAsia"/>
          <w:b/>
          <w:bCs/>
        </w:rPr>
      </w:pPr>
      <w:r>
        <w:rPr>
          <w:rFonts w:asciiTheme="minorEastAsia" w:hAnsiTheme="minorEastAsia" w:eastAsiaTheme="minorEastAsia" w:cstheme="minorEastAsia"/>
          <w:b/>
          <w:bCs/>
        </w:rPr>
        <w:t>表格下载</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湛江市医疗保障定点零售药店申请表</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https://www.zhanjiang.gov.cn/zjsylbzj/gkmlpt/content/1/1485/post_1485228.html#9368</w:t>
      </w:r>
    </w:p>
    <w:p>
      <w:pPr>
        <w:ind w:firstLine="482" w:firstLineChars="200"/>
        <w:rPr>
          <w:rFonts w:asciiTheme="minorEastAsia" w:hAnsiTheme="minorEastAsia" w:cstheme="minorEastAsia"/>
          <w:b/>
          <w:color w:val="000000"/>
          <w:sz w:val="24"/>
          <w:szCs w:val="24"/>
          <w:shd w:val="clear" w:color="auto" w:fill="FFFFFF"/>
        </w:rPr>
      </w:pPr>
      <w:r>
        <w:rPr>
          <w:rFonts w:hint="eastAsia" w:asciiTheme="minorEastAsia" w:hAnsiTheme="minorEastAsia" w:cstheme="minorEastAsia"/>
          <w:b/>
          <w:color w:val="000000"/>
          <w:sz w:val="24"/>
          <w:szCs w:val="24"/>
          <w:shd w:val="clear" w:color="auto" w:fill="FFFFFF"/>
        </w:rPr>
        <w:t>办结时限</w:t>
      </w:r>
    </w:p>
    <w:p>
      <w:pPr>
        <w:ind w:firstLine="480" w:firstLineChars="200"/>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评估时限3个月</w:t>
      </w:r>
    </w:p>
    <w:p>
      <w:pPr>
        <w:ind w:firstLine="482" w:firstLineChars="200"/>
        <w:rPr>
          <w:rFonts w:asciiTheme="minorEastAsia" w:hAnsiTheme="minorEastAsia" w:cstheme="minorEastAsia"/>
          <w:b/>
          <w:color w:val="000000"/>
          <w:sz w:val="24"/>
          <w:szCs w:val="24"/>
          <w:shd w:val="clear" w:color="auto" w:fill="FFFFFF"/>
        </w:rPr>
      </w:pPr>
      <w:r>
        <w:rPr>
          <w:rFonts w:hint="eastAsia" w:asciiTheme="minorEastAsia" w:hAnsiTheme="minorEastAsia" w:cstheme="minorEastAsia"/>
          <w:b/>
          <w:sz w:val="24"/>
          <w:szCs w:val="24"/>
        </w:rPr>
        <w:t>办理窗口</w:t>
      </w:r>
    </w:p>
    <w:p>
      <w:pPr>
        <w:spacing w:line="320" w:lineRule="exact"/>
        <w:ind w:firstLine="480" w:firstLineChars="200"/>
        <w:rPr>
          <w:rFonts w:hint="default" w:ascii="仿宋" w:hAnsi="仿宋" w:eastAsia="仿宋" w:cs="仿宋"/>
          <w:color w:val="000000"/>
          <w:sz w:val="24"/>
          <w:szCs w:val="24"/>
          <w:shd w:val="clear" w:color="auto" w:fill="FFFFFF"/>
          <w:lang w:val="en-US"/>
        </w:rPr>
      </w:pPr>
      <w:r>
        <w:rPr>
          <w:rFonts w:hint="eastAsia" w:ascii="仿宋" w:hAnsi="仿宋" w:eastAsia="仿宋" w:cs="仿宋"/>
          <w:color w:val="000000"/>
          <w:sz w:val="24"/>
          <w:szCs w:val="24"/>
          <w:shd w:val="clear" w:color="auto" w:fill="FFFFFF"/>
        </w:rPr>
        <w:t>湛江市</w:t>
      </w:r>
      <w:r>
        <w:rPr>
          <w:rFonts w:hint="eastAsia" w:ascii="仿宋" w:hAnsi="仿宋" w:eastAsia="仿宋" w:cs="仿宋"/>
          <w:color w:val="000000"/>
          <w:sz w:val="24"/>
          <w:szCs w:val="24"/>
          <w:shd w:val="clear" w:color="auto" w:fill="FFFFFF"/>
          <w:lang w:val="en-US" w:eastAsia="zh-CN"/>
        </w:rPr>
        <w:t>行政服务中心二楼医保综合服务窗口</w:t>
      </w:r>
    </w:p>
    <w:p>
      <w:pPr>
        <w:spacing w:line="320" w:lineRule="exact"/>
        <w:ind w:firstLine="480" w:firstLineChars="200"/>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各县（市）参保人在对应县（市）医保部门服务窗口</w:t>
      </w:r>
    </w:p>
    <w:p>
      <w:pPr>
        <w:spacing w:line="320" w:lineRule="exact"/>
        <w:ind w:firstLine="480" w:firstLineChars="200"/>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工作时间：星期一至星期五8:30-12:00、14:30-18:00（法定休息日、法定节假日停止对外办理业务）</w:t>
      </w:r>
    </w:p>
    <w:p>
      <w:pPr>
        <w:spacing w:line="320" w:lineRule="exact"/>
        <w:ind w:firstLine="480" w:firstLineChars="200"/>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rPr>
        <w:t>办公地址：湛江市</w:t>
      </w:r>
      <w:r>
        <w:rPr>
          <w:rFonts w:hint="eastAsia" w:ascii="仿宋" w:hAnsi="仿宋" w:eastAsia="仿宋" w:cs="仿宋"/>
          <w:color w:val="000000"/>
          <w:sz w:val="24"/>
          <w:szCs w:val="24"/>
          <w:shd w:val="clear" w:color="auto" w:fill="FFFFFF"/>
          <w:lang w:val="en-US" w:eastAsia="zh-CN"/>
        </w:rPr>
        <w:t>行政服务中心二楼（赤坎区体育北路15号）</w:t>
      </w:r>
    </w:p>
    <w:p>
      <w:pPr>
        <w:spacing w:line="320" w:lineRule="exact"/>
        <w:ind w:firstLine="480" w:firstLineChars="200"/>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rPr>
        <w:t>交通指引：</w:t>
      </w:r>
      <w:r>
        <w:rPr>
          <w:rFonts w:hint="eastAsia" w:ascii="仿宋" w:hAnsi="仿宋" w:eastAsia="仿宋" w:cs="仿宋"/>
          <w:color w:val="000000"/>
          <w:sz w:val="24"/>
          <w:szCs w:val="24"/>
          <w:shd w:val="clear" w:color="auto" w:fill="FFFFFF"/>
          <w:lang w:val="en-US" w:eastAsia="zh-CN"/>
        </w:rPr>
        <w:t>乘坐10线、20线、26线、912线在市行政服务中心站下车。</w:t>
      </w:r>
    </w:p>
    <w:p>
      <w:pPr>
        <w:spacing w:line="320" w:lineRule="exact"/>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收费标准</w:t>
      </w:r>
    </w:p>
    <w:p>
      <w:pPr>
        <w:spacing w:line="320" w:lineRule="exact"/>
        <w:ind w:firstLine="480" w:firstLineChars="200"/>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不收费</w:t>
      </w:r>
    </w:p>
    <w:p>
      <w:pPr>
        <w:autoSpaceDE w:val="0"/>
        <w:autoSpaceDN w:val="0"/>
        <w:adjustRightInd w:val="0"/>
        <w:ind w:firstLine="482" w:firstLineChars="200"/>
        <w:jc w:val="left"/>
        <w:rPr>
          <w:rFonts w:asciiTheme="minorEastAsia" w:hAnsiTheme="minorEastAsia" w:cstheme="minorEastAsia"/>
          <w:b/>
          <w:sz w:val="24"/>
          <w:szCs w:val="24"/>
        </w:rPr>
      </w:pPr>
      <w:r>
        <w:rPr>
          <w:rFonts w:hint="eastAsia" w:asciiTheme="minorEastAsia" w:hAnsiTheme="minorEastAsia" w:cstheme="minorEastAsia"/>
          <w:b/>
          <w:sz w:val="24"/>
          <w:szCs w:val="24"/>
        </w:rPr>
        <w:t>办理依据</w:t>
      </w:r>
    </w:p>
    <w:p>
      <w:pPr>
        <w:autoSpaceDE w:val="0"/>
        <w:autoSpaceDN w:val="0"/>
        <w:adjustRightInd w:val="0"/>
        <w:ind w:firstLine="480" w:firstLineChars="200"/>
        <w:jc w:val="left"/>
        <w:rPr>
          <w:rFonts w:ascii="仿宋" w:hAnsi="仿宋" w:eastAsia="仿宋" w:cs="仿宋"/>
          <w:color w:val="0C0909"/>
          <w:kern w:val="0"/>
          <w:sz w:val="24"/>
          <w:szCs w:val="24"/>
        </w:rPr>
      </w:pPr>
      <w:r>
        <w:rPr>
          <w:rFonts w:hint="eastAsia" w:ascii="仿宋" w:hAnsi="仿宋" w:eastAsia="仿宋" w:cs="仿宋"/>
          <w:sz w:val="24"/>
          <w:szCs w:val="24"/>
        </w:rPr>
        <w:t>《</w:t>
      </w:r>
      <w:r>
        <w:rPr>
          <w:rFonts w:hint="eastAsia" w:ascii="仿宋" w:hAnsi="仿宋" w:eastAsia="仿宋" w:cs="仿宋"/>
          <w:color w:val="0C0909"/>
          <w:kern w:val="0"/>
          <w:sz w:val="24"/>
          <w:szCs w:val="24"/>
        </w:rPr>
        <w:t>关于印发湛江市基本医疗保障定点医药机构申请指引的通知</w:t>
      </w:r>
      <w:r>
        <w:rPr>
          <w:rFonts w:hint="eastAsia" w:ascii="仿宋" w:hAnsi="仿宋" w:eastAsia="仿宋" w:cs="仿宋"/>
          <w:color w:val="000000"/>
          <w:sz w:val="24"/>
          <w:szCs w:val="24"/>
          <w:shd w:val="clear" w:color="auto" w:fill="FFFFFF"/>
        </w:rPr>
        <w:t>》（湛社保</w:t>
      </w:r>
      <w:r>
        <w:rPr>
          <w:rFonts w:hint="eastAsia" w:ascii="仿宋" w:hAnsi="仿宋" w:eastAsia="仿宋" w:cs="仿宋"/>
          <w:sz w:val="24"/>
          <w:szCs w:val="24"/>
        </w:rPr>
        <w:t>〔2021〕296号</w:t>
      </w:r>
      <w:r>
        <w:rPr>
          <w:rFonts w:hint="eastAsia" w:ascii="仿宋" w:hAnsi="仿宋" w:eastAsia="仿宋" w:cs="仿宋"/>
          <w:color w:val="000000"/>
          <w:sz w:val="24"/>
          <w:szCs w:val="24"/>
          <w:shd w:val="clear" w:color="auto" w:fill="FFFFFF"/>
        </w:rPr>
        <w:t>）</w:t>
      </w:r>
    </w:p>
    <w:p>
      <w:pPr>
        <w:spacing w:line="320" w:lineRule="exact"/>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状态查询、咨询和投诉方式</w:t>
      </w:r>
    </w:p>
    <w:p>
      <w:pPr>
        <w:spacing w:line="320" w:lineRule="exact"/>
        <w:ind w:firstLine="480" w:firstLineChars="200"/>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rPr>
        <w:t>查询网址：</w:t>
      </w:r>
      <w:r>
        <w:rPr>
          <w:rFonts w:hint="eastAsia" w:ascii="仿宋" w:hAnsi="仿宋" w:eastAsia="仿宋" w:cs="仿宋"/>
          <w:color w:val="000000"/>
          <w:sz w:val="24"/>
          <w:szCs w:val="24"/>
          <w:shd w:val="clear" w:color="auto" w:fill="FFFFFF"/>
          <w:lang w:val="en-US" w:eastAsia="zh-CN"/>
        </w:rPr>
        <w:t>广东省政务服务网</w:t>
      </w:r>
    </w:p>
    <w:p>
      <w:pPr>
        <w:spacing w:line="320" w:lineRule="exact"/>
        <w:ind w:firstLine="480" w:firstLineChars="200"/>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咨询电话：0759-3367913</w:t>
      </w:r>
    </w:p>
    <w:p>
      <w:pPr>
        <w:spacing w:line="320" w:lineRule="exact"/>
        <w:ind w:firstLine="480" w:firstLineChars="200"/>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rPr>
        <w:t>投诉电话：0759-336</w:t>
      </w:r>
      <w:r>
        <w:rPr>
          <w:rFonts w:hint="eastAsia" w:ascii="仿宋" w:hAnsi="仿宋" w:eastAsia="仿宋" w:cs="仿宋"/>
          <w:color w:val="000000"/>
          <w:sz w:val="24"/>
          <w:szCs w:val="24"/>
          <w:shd w:val="clear" w:color="auto" w:fill="FFFFFF"/>
          <w:lang w:val="en-US" w:eastAsia="zh-CN"/>
        </w:rPr>
        <w:t>9915</w:t>
      </w:r>
      <w:bookmarkStart w:id="0" w:name="_GoBack"/>
      <w:bookmarkEnd w:id="0"/>
    </w:p>
    <w:p>
      <w:pPr>
        <w:widowControl/>
        <w:jc w:val="left"/>
        <w:rPr>
          <w:rFonts w:ascii="仿宋" w:hAnsi="仿宋" w:eastAsia="仿宋" w:cs="仿宋"/>
          <w:color w:val="000000"/>
          <w:sz w:val="24"/>
          <w:szCs w:val="24"/>
          <w:shd w:val="clear" w:color="auto" w:fill="FFFFFF"/>
        </w:rPr>
      </w:pPr>
      <w:r>
        <w:rPr>
          <w:rFonts w:ascii="仿宋" w:hAnsi="仿宋" w:eastAsia="仿宋" w:cs="仿宋"/>
          <w:color w:val="000000"/>
          <w:sz w:val="24"/>
          <w:szCs w:val="24"/>
          <w:shd w:val="clear" w:color="auto" w:fill="FFFFFF"/>
        </w:rPr>
        <w:br w:type="page"/>
      </w:r>
    </w:p>
    <w:p>
      <w:pPr>
        <w:jc w:val="center"/>
        <w:rPr>
          <w:rFonts w:ascii="黑体" w:eastAsia="黑体"/>
          <w:b/>
          <w:sz w:val="36"/>
          <w:szCs w:val="36"/>
        </w:rPr>
      </w:pPr>
      <w:r>
        <w:rPr>
          <w:rFonts w:hint="eastAsia" w:ascii="黑体" w:eastAsia="黑体"/>
          <w:b/>
          <w:sz w:val="36"/>
          <w:szCs w:val="36"/>
        </w:rPr>
        <w:t>湛江市医疗保障定点零售药店申请表</w:t>
      </w:r>
    </w:p>
    <w:p>
      <w:pPr>
        <w:jc w:val="right"/>
        <w:rPr>
          <w:rFonts w:ascii="宋体" w:hAnsi="宋体"/>
          <w:sz w:val="24"/>
        </w:rPr>
      </w:pPr>
      <w:r>
        <w:rPr>
          <w:rFonts w:hint="eastAsia" w:ascii="宋体" w:hAnsi="宋体"/>
          <w:sz w:val="24"/>
        </w:rPr>
        <w:t xml:space="preserve">申请日期：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tbl>
      <w:tblPr>
        <w:tblStyle w:val="9"/>
        <w:tblpPr w:leftFromText="180" w:rightFromText="180" w:vertAnchor="page" w:horzAnchor="margin" w:tblpY="1876"/>
        <w:tblW w:w="10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956"/>
        <w:gridCol w:w="956"/>
        <w:gridCol w:w="697"/>
        <w:gridCol w:w="1215"/>
        <w:gridCol w:w="536"/>
        <w:gridCol w:w="421"/>
        <w:gridCol w:w="1319"/>
        <w:gridCol w:w="1752"/>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36" w:type="dxa"/>
            <w:gridSpan w:val="2"/>
            <w:shd w:val="clear" w:color="auto" w:fill="auto"/>
            <w:vAlign w:val="center"/>
          </w:tcPr>
          <w:p>
            <w:pPr>
              <w:jc w:val="center"/>
              <w:rPr>
                <w:rFonts w:hint="eastAsia"/>
                <w:sz w:val="24"/>
              </w:rPr>
            </w:pPr>
            <w:r>
              <w:rPr>
                <w:rFonts w:hint="eastAsia"/>
                <w:sz w:val="24"/>
              </w:rPr>
              <w:t>药店名称</w:t>
            </w:r>
          </w:p>
        </w:tc>
        <w:tc>
          <w:tcPr>
            <w:tcW w:w="5144" w:type="dxa"/>
            <w:gridSpan w:val="6"/>
            <w:shd w:val="clear" w:color="auto" w:fill="auto"/>
            <w:vAlign w:val="center"/>
          </w:tcPr>
          <w:p>
            <w:pPr>
              <w:jc w:val="center"/>
              <w:rPr>
                <w:sz w:val="24"/>
              </w:rPr>
            </w:pPr>
          </w:p>
        </w:tc>
        <w:tc>
          <w:tcPr>
            <w:tcW w:w="1752" w:type="dxa"/>
            <w:shd w:val="clear" w:color="auto" w:fill="auto"/>
            <w:vAlign w:val="center"/>
          </w:tcPr>
          <w:p>
            <w:pPr>
              <w:jc w:val="center"/>
              <w:rPr>
                <w:rFonts w:hint="eastAsia"/>
                <w:sz w:val="24"/>
              </w:rPr>
            </w:pPr>
            <w:r>
              <w:rPr>
                <w:rFonts w:hint="eastAsia"/>
                <w:sz w:val="24"/>
              </w:rPr>
              <w:t>机构代码</w:t>
            </w:r>
          </w:p>
        </w:tc>
        <w:tc>
          <w:tcPr>
            <w:tcW w:w="1740" w:type="dxa"/>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36" w:type="dxa"/>
            <w:gridSpan w:val="2"/>
            <w:shd w:val="clear" w:color="auto" w:fill="auto"/>
            <w:vAlign w:val="center"/>
          </w:tcPr>
          <w:p>
            <w:pPr>
              <w:jc w:val="center"/>
              <w:rPr>
                <w:rFonts w:hint="eastAsia"/>
                <w:sz w:val="24"/>
              </w:rPr>
            </w:pPr>
            <w:r>
              <w:rPr>
                <w:rFonts w:hint="eastAsia"/>
                <w:sz w:val="24"/>
              </w:rPr>
              <w:t>所属区域</w:t>
            </w:r>
          </w:p>
        </w:tc>
        <w:tc>
          <w:tcPr>
            <w:tcW w:w="8636" w:type="dxa"/>
            <w:gridSpan w:val="8"/>
            <w:shd w:val="clear" w:color="auto" w:fill="auto"/>
            <w:vAlign w:val="center"/>
          </w:tcPr>
          <w:p>
            <w:pPr>
              <w:ind w:firstLine="240" w:firstLineChars="100"/>
              <w:rPr>
                <w:sz w:val="24"/>
              </w:rPr>
            </w:pPr>
            <w:r>
              <w:rPr>
                <w:rFonts w:hint="eastAsia"/>
                <w:sz w:val="24"/>
                <w:u w:val="single"/>
              </w:rPr>
              <w:t xml:space="preserve">       </w:t>
            </w:r>
            <w:r>
              <w:rPr>
                <w:rFonts w:hint="eastAsia"/>
                <w:sz w:val="24"/>
              </w:rPr>
              <w:t>区（县、市）</w:t>
            </w:r>
            <w:r>
              <w:rPr>
                <w:rFonts w:hint="eastAsia"/>
                <w:sz w:val="24"/>
                <w:u w:val="single"/>
              </w:rPr>
              <w:t xml:space="preserve">          </w:t>
            </w:r>
            <w:r>
              <w:rPr>
                <w:rFonts w:hint="eastAsia"/>
                <w:sz w:val="24"/>
              </w:rPr>
              <w:t xml:space="preserve"> 街道（乡镇）</w:t>
            </w:r>
            <w:r>
              <w:rPr>
                <w:rFonts w:hint="eastAsia"/>
                <w:sz w:val="24"/>
                <w:u w:val="single"/>
              </w:rPr>
              <w:t xml:space="preserve">            </w:t>
            </w:r>
            <w:r>
              <w:rPr>
                <w:rFonts w:hint="eastAsia"/>
                <w:sz w:val="24"/>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836" w:type="dxa"/>
            <w:gridSpan w:val="2"/>
            <w:shd w:val="clear" w:color="auto" w:fill="auto"/>
            <w:vAlign w:val="center"/>
          </w:tcPr>
          <w:p>
            <w:pPr>
              <w:jc w:val="center"/>
              <w:rPr>
                <w:rFonts w:hint="eastAsia"/>
                <w:sz w:val="24"/>
              </w:rPr>
            </w:pPr>
            <w:r>
              <w:rPr>
                <w:rFonts w:hint="eastAsia"/>
                <w:sz w:val="24"/>
              </w:rPr>
              <w:t>单位地址</w:t>
            </w:r>
          </w:p>
        </w:tc>
        <w:tc>
          <w:tcPr>
            <w:tcW w:w="5144" w:type="dxa"/>
            <w:gridSpan w:val="6"/>
            <w:shd w:val="clear" w:color="auto" w:fill="auto"/>
            <w:vAlign w:val="center"/>
          </w:tcPr>
          <w:p>
            <w:pPr>
              <w:jc w:val="center"/>
              <w:rPr>
                <w:sz w:val="24"/>
              </w:rPr>
            </w:pPr>
          </w:p>
        </w:tc>
        <w:tc>
          <w:tcPr>
            <w:tcW w:w="1752" w:type="dxa"/>
            <w:shd w:val="clear" w:color="auto" w:fill="auto"/>
            <w:vAlign w:val="center"/>
          </w:tcPr>
          <w:p>
            <w:pPr>
              <w:jc w:val="center"/>
              <w:rPr>
                <w:rFonts w:hint="eastAsia"/>
                <w:sz w:val="24"/>
              </w:rPr>
            </w:pPr>
            <w:r>
              <w:rPr>
                <w:rFonts w:hint="eastAsia"/>
                <w:sz w:val="24"/>
              </w:rPr>
              <w:t>邮政编码</w:t>
            </w:r>
          </w:p>
        </w:tc>
        <w:tc>
          <w:tcPr>
            <w:tcW w:w="1740" w:type="dxa"/>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836" w:type="dxa"/>
            <w:gridSpan w:val="2"/>
            <w:shd w:val="clear" w:color="auto" w:fill="auto"/>
            <w:vAlign w:val="center"/>
          </w:tcPr>
          <w:p>
            <w:pPr>
              <w:jc w:val="center"/>
              <w:rPr>
                <w:rFonts w:hint="eastAsia"/>
                <w:sz w:val="24"/>
              </w:rPr>
            </w:pPr>
            <w:r>
              <w:rPr>
                <w:rFonts w:hint="eastAsia"/>
                <w:sz w:val="24"/>
              </w:rPr>
              <w:t>营业执照号</w:t>
            </w:r>
          </w:p>
        </w:tc>
        <w:tc>
          <w:tcPr>
            <w:tcW w:w="3404" w:type="dxa"/>
            <w:gridSpan w:val="4"/>
            <w:shd w:val="clear" w:color="auto" w:fill="auto"/>
            <w:vAlign w:val="center"/>
          </w:tcPr>
          <w:p>
            <w:pPr>
              <w:jc w:val="center"/>
              <w:rPr>
                <w:rFonts w:hint="eastAsia"/>
                <w:sz w:val="24"/>
              </w:rPr>
            </w:pPr>
          </w:p>
        </w:tc>
        <w:tc>
          <w:tcPr>
            <w:tcW w:w="1740" w:type="dxa"/>
            <w:gridSpan w:val="2"/>
            <w:shd w:val="clear" w:color="auto" w:fill="auto"/>
            <w:vAlign w:val="center"/>
          </w:tcPr>
          <w:p>
            <w:pPr>
              <w:jc w:val="center"/>
              <w:rPr>
                <w:rFonts w:hint="eastAsia"/>
                <w:sz w:val="24"/>
              </w:rPr>
            </w:pPr>
            <w:r>
              <w:rPr>
                <w:rFonts w:hint="eastAsia"/>
                <w:sz w:val="24"/>
              </w:rPr>
              <w:t>药品经营</w:t>
            </w:r>
          </w:p>
          <w:p>
            <w:pPr>
              <w:jc w:val="center"/>
              <w:rPr>
                <w:sz w:val="24"/>
              </w:rPr>
            </w:pPr>
            <w:r>
              <w:rPr>
                <w:rFonts w:hint="eastAsia"/>
                <w:sz w:val="24"/>
              </w:rPr>
              <w:t>许可证号</w:t>
            </w:r>
          </w:p>
        </w:tc>
        <w:tc>
          <w:tcPr>
            <w:tcW w:w="3492" w:type="dxa"/>
            <w:gridSpan w:val="2"/>
            <w:shd w:val="clear" w:color="auto" w:fill="auto"/>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36" w:type="dxa"/>
            <w:gridSpan w:val="2"/>
            <w:shd w:val="clear" w:color="auto" w:fill="auto"/>
            <w:vAlign w:val="center"/>
          </w:tcPr>
          <w:p>
            <w:pPr>
              <w:jc w:val="center"/>
              <w:rPr>
                <w:rFonts w:hint="eastAsia"/>
                <w:sz w:val="24"/>
              </w:rPr>
            </w:pPr>
            <w:r>
              <w:rPr>
                <w:rFonts w:hint="eastAsia"/>
                <w:sz w:val="24"/>
              </w:rPr>
              <w:t>法人代表</w:t>
            </w:r>
          </w:p>
        </w:tc>
        <w:tc>
          <w:tcPr>
            <w:tcW w:w="1653" w:type="dxa"/>
            <w:gridSpan w:val="2"/>
            <w:shd w:val="clear" w:color="auto" w:fill="auto"/>
            <w:vAlign w:val="center"/>
          </w:tcPr>
          <w:p>
            <w:pPr>
              <w:jc w:val="center"/>
              <w:rPr>
                <w:sz w:val="24"/>
              </w:rPr>
            </w:pPr>
          </w:p>
        </w:tc>
        <w:tc>
          <w:tcPr>
            <w:tcW w:w="1751" w:type="dxa"/>
            <w:gridSpan w:val="2"/>
            <w:shd w:val="clear" w:color="auto" w:fill="auto"/>
            <w:vAlign w:val="center"/>
          </w:tcPr>
          <w:p>
            <w:pPr>
              <w:jc w:val="center"/>
              <w:rPr>
                <w:rFonts w:hint="eastAsia"/>
                <w:sz w:val="24"/>
              </w:rPr>
            </w:pPr>
            <w:r>
              <w:rPr>
                <w:rFonts w:hint="eastAsia"/>
                <w:sz w:val="24"/>
              </w:rPr>
              <w:t>联系人</w:t>
            </w:r>
          </w:p>
        </w:tc>
        <w:tc>
          <w:tcPr>
            <w:tcW w:w="1740" w:type="dxa"/>
            <w:gridSpan w:val="2"/>
            <w:shd w:val="clear" w:color="auto" w:fill="auto"/>
            <w:vAlign w:val="center"/>
          </w:tcPr>
          <w:p>
            <w:pPr>
              <w:jc w:val="center"/>
              <w:rPr>
                <w:rFonts w:hint="eastAsia"/>
                <w:sz w:val="24"/>
              </w:rPr>
            </w:pPr>
          </w:p>
          <w:p>
            <w:pPr>
              <w:jc w:val="center"/>
              <w:rPr>
                <w:rFonts w:hint="eastAsia"/>
                <w:sz w:val="24"/>
              </w:rPr>
            </w:pPr>
          </w:p>
        </w:tc>
        <w:tc>
          <w:tcPr>
            <w:tcW w:w="1752" w:type="dxa"/>
            <w:shd w:val="clear" w:color="auto" w:fill="auto"/>
            <w:vAlign w:val="center"/>
          </w:tcPr>
          <w:p>
            <w:pPr>
              <w:jc w:val="center"/>
              <w:rPr>
                <w:rFonts w:hint="eastAsia"/>
                <w:sz w:val="24"/>
              </w:rPr>
            </w:pPr>
            <w:r>
              <w:rPr>
                <w:rFonts w:hint="eastAsia"/>
                <w:sz w:val="24"/>
              </w:rPr>
              <w:t>联系电话</w:t>
            </w:r>
          </w:p>
        </w:tc>
        <w:tc>
          <w:tcPr>
            <w:tcW w:w="1740" w:type="dxa"/>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836" w:type="dxa"/>
            <w:gridSpan w:val="2"/>
            <w:shd w:val="clear" w:color="auto" w:fill="auto"/>
            <w:vAlign w:val="center"/>
          </w:tcPr>
          <w:p>
            <w:pPr>
              <w:jc w:val="center"/>
              <w:rPr>
                <w:rFonts w:hint="eastAsia"/>
                <w:sz w:val="24"/>
              </w:rPr>
            </w:pPr>
            <w:r>
              <w:rPr>
                <w:rFonts w:hint="eastAsia"/>
                <w:sz w:val="24"/>
              </w:rPr>
              <w:t>单位开户</w:t>
            </w:r>
          </w:p>
          <w:p>
            <w:pPr>
              <w:jc w:val="center"/>
              <w:rPr>
                <w:rFonts w:hint="eastAsia"/>
                <w:sz w:val="24"/>
              </w:rPr>
            </w:pPr>
            <w:r>
              <w:rPr>
                <w:rFonts w:hint="eastAsia"/>
                <w:sz w:val="24"/>
              </w:rPr>
              <w:t>银行及帐号</w:t>
            </w:r>
          </w:p>
        </w:tc>
        <w:tc>
          <w:tcPr>
            <w:tcW w:w="8636" w:type="dxa"/>
            <w:gridSpan w:val="8"/>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80" w:type="dxa"/>
            <w:vMerge w:val="restart"/>
            <w:shd w:val="clear" w:color="auto" w:fill="auto"/>
            <w:vAlign w:val="center"/>
          </w:tcPr>
          <w:p>
            <w:pPr>
              <w:jc w:val="center"/>
              <w:rPr>
                <w:rFonts w:hint="eastAsia"/>
                <w:sz w:val="24"/>
              </w:rPr>
            </w:pPr>
            <w:r>
              <w:rPr>
                <w:rFonts w:hint="eastAsia"/>
                <w:sz w:val="24"/>
              </w:rPr>
              <w:t>基本情况</w:t>
            </w:r>
          </w:p>
        </w:tc>
        <w:tc>
          <w:tcPr>
            <w:tcW w:w="1912" w:type="dxa"/>
            <w:gridSpan w:val="2"/>
            <w:shd w:val="clear" w:color="auto" w:fill="auto"/>
            <w:vAlign w:val="center"/>
          </w:tcPr>
          <w:p>
            <w:pPr>
              <w:jc w:val="center"/>
              <w:rPr>
                <w:rFonts w:hint="eastAsia"/>
                <w:sz w:val="24"/>
              </w:rPr>
            </w:pPr>
            <w:r>
              <w:rPr>
                <w:rFonts w:hint="eastAsia"/>
                <w:sz w:val="24"/>
              </w:rPr>
              <w:t>人员构成</w:t>
            </w:r>
          </w:p>
        </w:tc>
        <w:tc>
          <w:tcPr>
            <w:tcW w:w="1912" w:type="dxa"/>
            <w:gridSpan w:val="2"/>
            <w:shd w:val="clear" w:color="auto" w:fill="auto"/>
            <w:vAlign w:val="center"/>
          </w:tcPr>
          <w:p>
            <w:pPr>
              <w:rPr>
                <w:rFonts w:hint="eastAsia"/>
                <w:sz w:val="24"/>
              </w:rPr>
            </w:pPr>
            <w:r>
              <w:rPr>
                <w:rFonts w:hint="eastAsia"/>
                <w:sz w:val="24"/>
              </w:rPr>
              <w:t>总人数     人</w:t>
            </w:r>
          </w:p>
        </w:tc>
        <w:tc>
          <w:tcPr>
            <w:tcW w:w="5768" w:type="dxa"/>
            <w:gridSpan w:val="5"/>
            <w:shd w:val="clear" w:color="auto" w:fill="auto"/>
            <w:vAlign w:val="center"/>
          </w:tcPr>
          <w:p>
            <w:pPr>
              <w:rPr>
                <w:sz w:val="24"/>
              </w:rPr>
            </w:pPr>
            <w:r>
              <w:rPr>
                <w:rFonts w:hint="eastAsia"/>
                <w:sz w:val="24"/>
              </w:rPr>
              <w:t>执业药师    人；药工    人；</w:t>
            </w:r>
          </w:p>
          <w:p>
            <w:pPr>
              <w:rPr>
                <w:sz w:val="24"/>
              </w:rPr>
            </w:pPr>
            <w:r>
              <w:rPr>
                <w:rFonts w:hint="eastAsia"/>
                <w:sz w:val="24"/>
              </w:rPr>
              <w:t>其他营业人员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80" w:type="dxa"/>
            <w:vMerge w:val="continue"/>
            <w:shd w:val="clear" w:color="auto" w:fill="auto"/>
            <w:vAlign w:val="center"/>
          </w:tcPr>
          <w:p>
            <w:pPr>
              <w:jc w:val="center"/>
              <w:rPr>
                <w:rFonts w:hint="eastAsia"/>
                <w:sz w:val="24"/>
              </w:rPr>
            </w:pPr>
          </w:p>
        </w:tc>
        <w:tc>
          <w:tcPr>
            <w:tcW w:w="1912" w:type="dxa"/>
            <w:gridSpan w:val="2"/>
            <w:shd w:val="clear" w:color="auto" w:fill="auto"/>
            <w:vAlign w:val="center"/>
          </w:tcPr>
          <w:p>
            <w:pPr>
              <w:jc w:val="center"/>
              <w:rPr>
                <w:rFonts w:hint="eastAsia"/>
                <w:sz w:val="24"/>
              </w:rPr>
            </w:pPr>
            <w:r>
              <w:rPr>
                <w:rFonts w:hint="eastAsia"/>
                <w:sz w:val="24"/>
              </w:rPr>
              <w:t>单位社保代码</w:t>
            </w:r>
          </w:p>
        </w:tc>
        <w:tc>
          <w:tcPr>
            <w:tcW w:w="1912" w:type="dxa"/>
            <w:gridSpan w:val="2"/>
            <w:shd w:val="clear" w:color="auto" w:fill="auto"/>
            <w:vAlign w:val="center"/>
          </w:tcPr>
          <w:p>
            <w:pPr>
              <w:jc w:val="center"/>
              <w:rPr>
                <w:sz w:val="24"/>
              </w:rPr>
            </w:pPr>
          </w:p>
        </w:tc>
        <w:tc>
          <w:tcPr>
            <w:tcW w:w="5768" w:type="dxa"/>
            <w:gridSpan w:val="5"/>
            <w:shd w:val="clear" w:color="auto" w:fill="auto"/>
            <w:vAlign w:val="center"/>
          </w:tcPr>
          <w:p>
            <w:pPr>
              <w:rPr>
                <w:rFonts w:hint="eastAsia"/>
                <w:sz w:val="24"/>
              </w:rPr>
            </w:pPr>
            <w:r>
              <w:rPr>
                <w:rFonts w:hint="eastAsia"/>
                <w:sz w:val="24"/>
              </w:rPr>
              <w:t>参保人数     人（含人个参保和在其他单位参保）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80" w:type="dxa"/>
            <w:vMerge w:val="continue"/>
            <w:shd w:val="clear" w:color="auto" w:fill="auto"/>
            <w:vAlign w:val="center"/>
          </w:tcPr>
          <w:p>
            <w:pPr>
              <w:jc w:val="center"/>
              <w:rPr>
                <w:rFonts w:hint="eastAsia"/>
                <w:sz w:val="24"/>
              </w:rPr>
            </w:pPr>
          </w:p>
        </w:tc>
        <w:tc>
          <w:tcPr>
            <w:tcW w:w="1912" w:type="dxa"/>
            <w:gridSpan w:val="2"/>
            <w:shd w:val="clear" w:color="auto" w:fill="auto"/>
            <w:vAlign w:val="center"/>
          </w:tcPr>
          <w:p>
            <w:pPr>
              <w:jc w:val="center"/>
              <w:rPr>
                <w:rFonts w:hint="eastAsia"/>
                <w:sz w:val="24"/>
              </w:rPr>
            </w:pPr>
            <w:r>
              <w:rPr>
                <w:rFonts w:hint="eastAsia"/>
                <w:sz w:val="24"/>
              </w:rPr>
              <w:t>营业面积</w:t>
            </w:r>
          </w:p>
        </w:tc>
        <w:tc>
          <w:tcPr>
            <w:tcW w:w="1912" w:type="dxa"/>
            <w:gridSpan w:val="2"/>
            <w:shd w:val="clear" w:color="auto" w:fill="auto"/>
            <w:vAlign w:val="center"/>
          </w:tcPr>
          <w:p>
            <w:pPr>
              <w:jc w:val="center"/>
              <w:rPr>
                <w:rFonts w:hint="eastAsia"/>
                <w:sz w:val="30"/>
                <w:szCs w:val="30"/>
              </w:rPr>
            </w:pPr>
            <w:r>
              <w:rPr>
                <w:rFonts w:hint="eastAsia"/>
                <w:sz w:val="24"/>
              </w:rPr>
              <w:t xml:space="preserve">        </w:t>
            </w:r>
            <w:r>
              <w:rPr>
                <w:rFonts w:hint="eastAsia"/>
                <w:sz w:val="30"/>
                <w:szCs w:val="30"/>
              </w:rPr>
              <w:t>㎡</w:t>
            </w:r>
          </w:p>
        </w:tc>
        <w:tc>
          <w:tcPr>
            <w:tcW w:w="957" w:type="dxa"/>
            <w:gridSpan w:val="2"/>
            <w:shd w:val="clear" w:color="auto" w:fill="auto"/>
            <w:vAlign w:val="center"/>
          </w:tcPr>
          <w:p>
            <w:pPr>
              <w:jc w:val="center"/>
              <w:rPr>
                <w:rFonts w:hint="eastAsia"/>
                <w:sz w:val="24"/>
              </w:rPr>
            </w:pPr>
            <w:r>
              <w:rPr>
                <w:rFonts w:hint="eastAsia"/>
                <w:sz w:val="24"/>
              </w:rPr>
              <w:t>药品种类</w:t>
            </w:r>
          </w:p>
        </w:tc>
        <w:tc>
          <w:tcPr>
            <w:tcW w:w="4811" w:type="dxa"/>
            <w:gridSpan w:val="3"/>
            <w:shd w:val="clear" w:color="auto" w:fill="auto"/>
            <w:vAlign w:val="center"/>
          </w:tcPr>
          <w:p>
            <w:pPr>
              <w:jc w:val="left"/>
              <w:rPr>
                <w:sz w:val="24"/>
              </w:rPr>
            </w:pPr>
            <w:r>
              <w:rPr>
                <w:rFonts w:hint="eastAsia"/>
                <w:sz w:val="24"/>
              </w:rPr>
              <w:t xml:space="preserve">共    </w:t>
            </w:r>
            <w:r>
              <w:rPr>
                <w:sz w:val="24"/>
              </w:rPr>
              <w:t xml:space="preserve">  </w:t>
            </w:r>
            <w:r>
              <w:rPr>
                <w:rFonts w:hint="eastAsia"/>
                <w:sz w:val="24"/>
              </w:rPr>
              <w:t>种，其中：西药      种；</w:t>
            </w:r>
          </w:p>
          <w:p>
            <w:pPr>
              <w:jc w:val="left"/>
              <w:rPr>
                <w:sz w:val="24"/>
              </w:rPr>
            </w:pPr>
            <w:r>
              <w:rPr>
                <w:rFonts w:hint="eastAsia"/>
                <w:sz w:val="24"/>
              </w:rPr>
              <w:t xml:space="preserve">中药    </w:t>
            </w:r>
            <w:r>
              <w:rPr>
                <w:sz w:val="24"/>
              </w:rPr>
              <w:t xml:space="preserve">  </w:t>
            </w:r>
            <w:r>
              <w:rPr>
                <w:rFonts w:hint="eastAsia"/>
                <w:sz w:val="24"/>
              </w:rPr>
              <w:t>种；其他      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80" w:type="dxa"/>
            <w:vMerge w:val="continue"/>
            <w:shd w:val="clear" w:color="auto" w:fill="auto"/>
            <w:vAlign w:val="center"/>
          </w:tcPr>
          <w:p>
            <w:pPr>
              <w:jc w:val="center"/>
              <w:rPr>
                <w:rFonts w:hint="eastAsia"/>
                <w:sz w:val="24"/>
              </w:rPr>
            </w:pPr>
          </w:p>
        </w:tc>
        <w:tc>
          <w:tcPr>
            <w:tcW w:w="1912" w:type="dxa"/>
            <w:gridSpan w:val="2"/>
            <w:shd w:val="clear" w:color="auto" w:fill="auto"/>
            <w:vAlign w:val="center"/>
          </w:tcPr>
          <w:p>
            <w:pPr>
              <w:jc w:val="center"/>
              <w:rPr>
                <w:rFonts w:hint="eastAsia"/>
                <w:sz w:val="24"/>
              </w:rPr>
            </w:pPr>
            <w:r>
              <w:rPr>
                <w:rFonts w:hint="eastAsia"/>
                <w:sz w:val="24"/>
              </w:rPr>
              <w:t>药营范围</w:t>
            </w:r>
          </w:p>
        </w:tc>
        <w:tc>
          <w:tcPr>
            <w:tcW w:w="7680" w:type="dxa"/>
            <w:gridSpan w:val="7"/>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880" w:type="dxa"/>
            <w:shd w:val="clear" w:color="auto" w:fill="auto"/>
            <w:vAlign w:val="center"/>
          </w:tcPr>
          <w:p>
            <w:pPr>
              <w:jc w:val="center"/>
              <w:rPr>
                <w:rFonts w:hint="eastAsia"/>
                <w:sz w:val="24"/>
              </w:rPr>
            </w:pPr>
          </w:p>
          <w:p>
            <w:pPr>
              <w:jc w:val="center"/>
              <w:rPr>
                <w:rFonts w:hint="eastAsia"/>
                <w:sz w:val="24"/>
              </w:rPr>
            </w:pPr>
            <w:r>
              <w:rPr>
                <w:rFonts w:hint="eastAsia"/>
                <w:sz w:val="24"/>
              </w:rPr>
              <w:t>申请内容</w:t>
            </w:r>
          </w:p>
        </w:tc>
        <w:tc>
          <w:tcPr>
            <w:tcW w:w="9592" w:type="dxa"/>
            <w:gridSpan w:val="9"/>
            <w:shd w:val="clear" w:color="auto" w:fill="auto"/>
            <w:vAlign w:val="center"/>
          </w:tcPr>
          <w:p>
            <w:pPr>
              <w:rPr>
                <w:rFonts w:hint="eastAsia"/>
                <w:sz w:val="24"/>
              </w:rPr>
            </w:pPr>
          </w:p>
          <w:p>
            <w:pPr>
              <w:ind w:right="2040"/>
              <w:rPr>
                <w:rFonts w:hint="eastAsia"/>
                <w:sz w:val="24"/>
              </w:rPr>
            </w:pPr>
          </w:p>
          <w:p>
            <w:pPr>
              <w:ind w:right="1800"/>
              <w:rPr>
                <w:rFonts w:hint="eastAsia"/>
                <w:sz w:val="24"/>
              </w:rPr>
            </w:pPr>
          </w:p>
          <w:p>
            <w:pPr>
              <w:ind w:right="1800"/>
              <w:jc w:val="right"/>
              <w:rPr>
                <w:rFonts w:hint="eastAsia"/>
                <w:sz w:val="24"/>
              </w:rPr>
            </w:pPr>
            <w:r>
              <w:rPr>
                <w:rFonts w:hint="eastAsia"/>
                <w:sz w:val="24"/>
              </w:rPr>
              <w:t>（单位印章）</w:t>
            </w:r>
          </w:p>
          <w:p>
            <w:pPr>
              <w:jc w:val="center"/>
              <w:rPr>
                <w:rFonts w:hint="eastAsia"/>
                <w:sz w:val="24"/>
              </w:rPr>
            </w:pPr>
          </w:p>
          <w:p>
            <w:pPr>
              <w:jc w:val="center"/>
              <w:rPr>
                <w:rFonts w:hint="eastAsia"/>
                <w:sz w:val="24"/>
              </w:rPr>
            </w:pPr>
          </w:p>
          <w:p>
            <w:pPr>
              <w:wordWrap w:val="0"/>
              <w:ind w:right="120"/>
              <w:jc w:val="right"/>
              <w:rPr>
                <w:rFonts w:hint="eastAsia"/>
                <w:sz w:val="24"/>
              </w:rPr>
            </w:pPr>
            <w:r>
              <w:rPr>
                <w:rFonts w:hint="eastAsia"/>
                <w:sz w:val="24"/>
              </w:rPr>
              <w:t>法人代表签字：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880" w:type="dxa"/>
            <w:shd w:val="clear" w:color="auto" w:fill="auto"/>
            <w:vAlign w:val="center"/>
          </w:tcPr>
          <w:p>
            <w:pPr>
              <w:jc w:val="center"/>
              <w:rPr>
                <w:rFonts w:hint="eastAsia"/>
                <w:sz w:val="24"/>
              </w:rPr>
            </w:pPr>
            <w:r>
              <w:rPr>
                <w:rFonts w:hint="eastAsia"/>
                <w:sz w:val="24"/>
              </w:rPr>
              <w:t>医保经办机构审核意见</w:t>
            </w:r>
          </w:p>
        </w:tc>
        <w:tc>
          <w:tcPr>
            <w:tcW w:w="9592" w:type="dxa"/>
            <w:gridSpan w:val="9"/>
            <w:shd w:val="clear" w:color="auto" w:fill="auto"/>
            <w:vAlign w:val="center"/>
          </w:tcPr>
          <w:p>
            <w:pPr>
              <w:ind w:right="840"/>
              <w:rPr>
                <w:rFonts w:hint="eastAsia"/>
                <w:sz w:val="24"/>
              </w:rPr>
            </w:pPr>
          </w:p>
          <w:p>
            <w:pPr>
              <w:rPr>
                <w:rFonts w:hint="eastAsia"/>
                <w:sz w:val="24"/>
              </w:rPr>
            </w:pPr>
          </w:p>
          <w:p>
            <w:pPr>
              <w:ind w:right="1800"/>
              <w:rPr>
                <w:rFonts w:hint="eastAsia"/>
                <w:sz w:val="24"/>
              </w:rPr>
            </w:pPr>
          </w:p>
          <w:p>
            <w:pPr>
              <w:ind w:right="1680"/>
              <w:jc w:val="right"/>
              <w:rPr>
                <w:rFonts w:hint="eastAsia"/>
                <w:sz w:val="24"/>
              </w:rPr>
            </w:pPr>
            <w:r>
              <w:rPr>
                <w:rFonts w:hint="eastAsia"/>
                <w:sz w:val="24"/>
              </w:rPr>
              <w:t>（单位印章）</w:t>
            </w:r>
          </w:p>
          <w:p>
            <w:pPr>
              <w:jc w:val="center"/>
              <w:rPr>
                <w:rFonts w:hint="eastAsia"/>
                <w:sz w:val="24"/>
              </w:rPr>
            </w:pPr>
          </w:p>
          <w:p>
            <w:pPr>
              <w:jc w:val="center"/>
              <w:rPr>
                <w:rFonts w:hint="eastAsia"/>
                <w:sz w:val="24"/>
              </w:rPr>
            </w:pPr>
          </w:p>
          <w:p>
            <w:pPr>
              <w:ind w:firstLine="2160" w:firstLineChars="900"/>
              <w:rPr>
                <w:sz w:val="24"/>
              </w:rPr>
            </w:pPr>
            <w:r>
              <w:rPr>
                <w:rFonts w:hint="eastAsia"/>
                <w:sz w:val="24"/>
              </w:rPr>
              <w:t>法人代表签字：                             年   月   日</w:t>
            </w:r>
          </w:p>
        </w:tc>
      </w:tr>
    </w:tbl>
    <w:p>
      <w:pPr>
        <w:rPr>
          <w:rFonts w:hint="eastAsia"/>
          <w:sz w:val="24"/>
        </w:rPr>
      </w:pPr>
      <w:r>
        <w:rPr>
          <w:rFonts w:hint="eastAsia"/>
          <w:sz w:val="24"/>
        </w:rPr>
        <w:t>（请填写背面表格内容）</w:t>
      </w:r>
    </w:p>
    <w:p>
      <w:pPr>
        <w:widowControl/>
        <w:jc w:val="left"/>
        <w:rPr>
          <w:rFonts w:ascii="仿宋" w:hAnsi="仿宋" w:eastAsia="仿宋" w:cs="仿宋"/>
          <w:color w:val="000000"/>
          <w:sz w:val="24"/>
          <w:szCs w:val="24"/>
          <w:shd w:val="clear" w:color="auto" w:fill="FFFFFF"/>
        </w:rPr>
      </w:pPr>
      <w:r>
        <w:rPr>
          <w:rFonts w:ascii="仿宋" w:hAnsi="仿宋" w:eastAsia="仿宋" w:cs="仿宋"/>
          <w:color w:val="000000"/>
          <w:sz w:val="24"/>
          <w:szCs w:val="24"/>
          <w:shd w:val="clear" w:color="auto" w:fill="FFFFFF"/>
        </w:rPr>
        <w:br w:type="page"/>
      </w:r>
    </w:p>
    <w:tbl>
      <w:tblPr>
        <w:tblStyle w:val="9"/>
        <w:tblW w:w="10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30"/>
        <w:gridCol w:w="3872"/>
        <w:gridCol w:w="209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80" w:type="dxa"/>
            <w:vMerge w:val="restart"/>
            <w:shd w:val="clear" w:color="auto" w:fill="auto"/>
            <w:vAlign w:val="center"/>
          </w:tcPr>
          <w:p>
            <w:pPr>
              <w:jc w:val="center"/>
              <w:rPr>
                <w:rFonts w:hint="eastAsia" w:ascii="宋体" w:hAnsi="宋体"/>
                <w:sz w:val="24"/>
              </w:rPr>
            </w:pPr>
            <w:r>
              <w:rPr>
                <w:rFonts w:hint="eastAsia" w:ascii="宋体" w:hAnsi="宋体"/>
                <w:sz w:val="24"/>
              </w:rPr>
              <w:t>参保情况（可另附表）</w:t>
            </w:r>
          </w:p>
        </w:tc>
        <w:tc>
          <w:tcPr>
            <w:tcW w:w="1530" w:type="dxa"/>
            <w:shd w:val="clear" w:color="auto" w:fill="auto"/>
            <w:vAlign w:val="center"/>
          </w:tcPr>
          <w:p>
            <w:pPr>
              <w:jc w:val="center"/>
              <w:rPr>
                <w:rFonts w:hint="eastAsia" w:ascii="宋体" w:hAnsi="宋体"/>
                <w:sz w:val="24"/>
              </w:rPr>
            </w:pPr>
            <w:r>
              <w:rPr>
                <w:rFonts w:hint="eastAsia" w:ascii="宋体" w:hAnsi="宋体"/>
                <w:sz w:val="24"/>
              </w:rPr>
              <w:t>姓名</w:t>
            </w:r>
          </w:p>
        </w:tc>
        <w:tc>
          <w:tcPr>
            <w:tcW w:w="3872" w:type="dxa"/>
            <w:shd w:val="clear" w:color="auto" w:fill="auto"/>
            <w:vAlign w:val="center"/>
          </w:tcPr>
          <w:p>
            <w:pPr>
              <w:jc w:val="center"/>
              <w:rPr>
                <w:rFonts w:hint="eastAsia" w:ascii="宋体" w:hAnsi="宋体"/>
                <w:sz w:val="24"/>
              </w:rPr>
            </w:pPr>
            <w:r>
              <w:rPr>
                <w:rFonts w:hint="eastAsia" w:ascii="宋体" w:hAnsi="宋体"/>
                <w:sz w:val="24"/>
              </w:rPr>
              <w:t>身份证号码</w:t>
            </w:r>
          </w:p>
        </w:tc>
        <w:tc>
          <w:tcPr>
            <w:tcW w:w="2094" w:type="dxa"/>
            <w:shd w:val="clear" w:color="auto" w:fill="auto"/>
            <w:vAlign w:val="center"/>
          </w:tcPr>
          <w:p>
            <w:pPr>
              <w:jc w:val="center"/>
              <w:rPr>
                <w:rFonts w:hint="eastAsia" w:ascii="宋体" w:hAnsi="宋体"/>
                <w:sz w:val="24"/>
              </w:rPr>
            </w:pPr>
            <w:r>
              <w:rPr>
                <w:rFonts w:hint="eastAsia" w:ascii="宋体" w:hAnsi="宋体"/>
                <w:sz w:val="24"/>
              </w:rPr>
              <w:t>参保代码</w:t>
            </w:r>
          </w:p>
        </w:tc>
        <w:tc>
          <w:tcPr>
            <w:tcW w:w="2094" w:type="dxa"/>
            <w:shd w:val="clear" w:color="auto" w:fill="auto"/>
            <w:vAlign w:val="center"/>
          </w:tcPr>
          <w:p>
            <w:pPr>
              <w:jc w:val="center"/>
              <w:rPr>
                <w:rFonts w:hint="eastAsia" w:ascii="宋体" w:hAnsi="宋体"/>
                <w:sz w:val="24"/>
              </w:rPr>
            </w:pPr>
            <w:r>
              <w:rPr>
                <w:rFonts w:hint="eastAsia" w:ascii="宋体" w:hAnsi="宋体"/>
                <w:sz w:val="24"/>
              </w:rPr>
              <w:t>参保时间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80" w:type="dxa"/>
            <w:vMerge w:val="continue"/>
            <w:shd w:val="clear" w:color="auto" w:fill="auto"/>
            <w:vAlign w:val="center"/>
          </w:tcPr>
          <w:p>
            <w:pPr>
              <w:jc w:val="center"/>
              <w:rPr>
                <w:rFonts w:hint="eastAsia" w:ascii="宋体" w:hAnsi="宋体"/>
                <w:sz w:val="24"/>
              </w:rPr>
            </w:pPr>
          </w:p>
        </w:tc>
        <w:tc>
          <w:tcPr>
            <w:tcW w:w="1530" w:type="dxa"/>
            <w:shd w:val="clear" w:color="auto" w:fill="auto"/>
          </w:tcPr>
          <w:p>
            <w:pPr>
              <w:jc w:val="center"/>
              <w:rPr>
                <w:rFonts w:hint="eastAsia" w:ascii="宋体" w:hAnsi="宋体"/>
                <w:sz w:val="24"/>
              </w:rPr>
            </w:pPr>
          </w:p>
        </w:tc>
        <w:tc>
          <w:tcPr>
            <w:tcW w:w="3872"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80" w:type="dxa"/>
            <w:vMerge w:val="continue"/>
            <w:shd w:val="clear" w:color="auto" w:fill="auto"/>
            <w:vAlign w:val="center"/>
          </w:tcPr>
          <w:p>
            <w:pPr>
              <w:jc w:val="center"/>
              <w:rPr>
                <w:rFonts w:hint="eastAsia" w:ascii="宋体" w:hAnsi="宋体"/>
                <w:sz w:val="24"/>
              </w:rPr>
            </w:pPr>
          </w:p>
        </w:tc>
        <w:tc>
          <w:tcPr>
            <w:tcW w:w="1530" w:type="dxa"/>
            <w:shd w:val="clear" w:color="auto" w:fill="auto"/>
          </w:tcPr>
          <w:p>
            <w:pPr>
              <w:jc w:val="center"/>
              <w:rPr>
                <w:rFonts w:hint="eastAsia" w:ascii="宋体" w:hAnsi="宋体"/>
                <w:sz w:val="24"/>
              </w:rPr>
            </w:pPr>
          </w:p>
        </w:tc>
        <w:tc>
          <w:tcPr>
            <w:tcW w:w="3872"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80" w:type="dxa"/>
            <w:vMerge w:val="continue"/>
            <w:shd w:val="clear" w:color="auto" w:fill="auto"/>
            <w:vAlign w:val="center"/>
          </w:tcPr>
          <w:p>
            <w:pPr>
              <w:jc w:val="center"/>
              <w:rPr>
                <w:rFonts w:hint="eastAsia" w:ascii="宋体" w:hAnsi="宋体"/>
                <w:sz w:val="24"/>
              </w:rPr>
            </w:pPr>
          </w:p>
        </w:tc>
        <w:tc>
          <w:tcPr>
            <w:tcW w:w="1530" w:type="dxa"/>
            <w:shd w:val="clear" w:color="auto" w:fill="auto"/>
          </w:tcPr>
          <w:p>
            <w:pPr>
              <w:jc w:val="center"/>
              <w:rPr>
                <w:rFonts w:hint="eastAsia" w:ascii="宋体" w:hAnsi="宋体"/>
                <w:sz w:val="24"/>
              </w:rPr>
            </w:pPr>
          </w:p>
        </w:tc>
        <w:tc>
          <w:tcPr>
            <w:tcW w:w="3872"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80" w:type="dxa"/>
            <w:vMerge w:val="continue"/>
            <w:shd w:val="clear" w:color="auto" w:fill="auto"/>
            <w:vAlign w:val="center"/>
          </w:tcPr>
          <w:p>
            <w:pPr>
              <w:jc w:val="center"/>
              <w:rPr>
                <w:rFonts w:hint="eastAsia" w:ascii="宋体" w:hAnsi="宋体"/>
                <w:sz w:val="24"/>
              </w:rPr>
            </w:pPr>
          </w:p>
        </w:tc>
        <w:tc>
          <w:tcPr>
            <w:tcW w:w="1530" w:type="dxa"/>
            <w:shd w:val="clear" w:color="auto" w:fill="auto"/>
          </w:tcPr>
          <w:p>
            <w:pPr>
              <w:jc w:val="center"/>
              <w:rPr>
                <w:rFonts w:hint="eastAsia" w:ascii="宋体" w:hAnsi="宋体"/>
                <w:sz w:val="24"/>
              </w:rPr>
            </w:pPr>
          </w:p>
        </w:tc>
        <w:tc>
          <w:tcPr>
            <w:tcW w:w="3872"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80" w:type="dxa"/>
            <w:vMerge w:val="continue"/>
            <w:shd w:val="clear" w:color="auto" w:fill="auto"/>
            <w:vAlign w:val="center"/>
          </w:tcPr>
          <w:p>
            <w:pPr>
              <w:jc w:val="center"/>
              <w:rPr>
                <w:rFonts w:hint="eastAsia" w:ascii="宋体" w:hAnsi="宋体"/>
                <w:sz w:val="24"/>
              </w:rPr>
            </w:pPr>
          </w:p>
        </w:tc>
        <w:tc>
          <w:tcPr>
            <w:tcW w:w="1530" w:type="dxa"/>
            <w:shd w:val="clear" w:color="auto" w:fill="auto"/>
          </w:tcPr>
          <w:p>
            <w:pPr>
              <w:jc w:val="center"/>
              <w:rPr>
                <w:rFonts w:hint="eastAsia" w:ascii="宋体" w:hAnsi="宋体"/>
                <w:sz w:val="24"/>
              </w:rPr>
            </w:pPr>
          </w:p>
        </w:tc>
        <w:tc>
          <w:tcPr>
            <w:tcW w:w="3872"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80" w:type="dxa"/>
            <w:vMerge w:val="continue"/>
            <w:shd w:val="clear" w:color="auto" w:fill="auto"/>
            <w:vAlign w:val="center"/>
          </w:tcPr>
          <w:p>
            <w:pPr>
              <w:jc w:val="center"/>
              <w:rPr>
                <w:rFonts w:hint="eastAsia" w:ascii="宋体" w:hAnsi="宋体"/>
                <w:sz w:val="24"/>
              </w:rPr>
            </w:pPr>
          </w:p>
        </w:tc>
        <w:tc>
          <w:tcPr>
            <w:tcW w:w="1530" w:type="dxa"/>
            <w:shd w:val="clear" w:color="auto" w:fill="auto"/>
          </w:tcPr>
          <w:p>
            <w:pPr>
              <w:jc w:val="center"/>
              <w:rPr>
                <w:rFonts w:hint="eastAsia" w:ascii="宋体" w:hAnsi="宋体"/>
                <w:sz w:val="24"/>
              </w:rPr>
            </w:pPr>
          </w:p>
        </w:tc>
        <w:tc>
          <w:tcPr>
            <w:tcW w:w="3872"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80" w:type="dxa"/>
            <w:vMerge w:val="continue"/>
            <w:shd w:val="clear" w:color="auto" w:fill="auto"/>
            <w:vAlign w:val="center"/>
          </w:tcPr>
          <w:p>
            <w:pPr>
              <w:jc w:val="center"/>
              <w:rPr>
                <w:rFonts w:hint="eastAsia" w:ascii="宋体" w:hAnsi="宋体"/>
                <w:sz w:val="24"/>
              </w:rPr>
            </w:pPr>
          </w:p>
        </w:tc>
        <w:tc>
          <w:tcPr>
            <w:tcW w:w="1530" w:type="dxa"/>
            <w:shd w:val="clear" w:color="auto" w:fill="auto"/>
          </w:tcPr>
          <w:p>
            <w:pPr>
              <w:jc w:val="center"/>
              <w:rPr>
                <w:rFonts w:hint="eastAsia" w:ascii="宋体" w:hAnsi="宋体"/>
                <w:sz w:val="24"/>
              </w:rPr>
            </w:pPr>
          </w:p>
        </w:tc>
        <w:tc>
          <w:tcPr>
            <w:tcW w:w="3872"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80" w:type="dxa"/>
            <w:vMerge w:val="continue"/>
            <w:shd w:val="clear" w:color="auto" w:fill="auto"/>
            <w:vAlign w:val="center"/>
          </w:tcPr>
          <w:p>
            <w:pPr>
              <w:jc w:val="center"/>
              <w:rPr>
                <w:rFonts w:hint="eastAsia" w:ascii="宋体" w:hAnsi="宋体"/>
                <w:sz w:val="24"/>
              </w:rPr>
            </w:pPr>
          </w:p>
        </w:tc>
        <w:tc>
          <w:tcPr>
            <w:tcW w:w="1530" w:type="dxa"/>
            <w:shd w:val="clear" w:color="auto" w:fill="auto"/>
          </w:tcPr>
          <w:p>
            <w:pPr>
              <w:jc w:val="center"/>
              <w:rPr>
                <w:rFonts w:hint="eastAsia" w:ascii="宋体" w:hAnsi="宋体"/>
                <w:sz w:val="24"/>
              </w:rPr>
            </w:pPr>
          </w:p>
        </w:tc>
        <w:tc>
          <w:tcPr>
            <w:tcW w:w="3872"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80" w:type="dxa"/>
            <w:vMerge w:val="continue"/>
            <w:shd w:val="clear" w:color="auto" w:fill="auto"/>
            <w:vAlign w:val="center"/>
          </w:tcPr>
          <w:p>
            <w:pPr>
              <w:jc w:val="center"/>
              <w:rPr>
                <w:rFonts w:hint="eastAsia" w:ascii="宋体" w:hAnsi="宋体"/>
                <w:sz w:val="24"/>
              </w:rPr>
            </w:pPr>
          </w:p>
        </w:tc>
        <w:tc>
          <w:tcPr>
            <w:tcW w:w="1530" w:type="dxa"/>
            <w:shd w:val="clear" w:color="auto" w:fill="auto"/>
          </w:tcPr>
          <w:p>
            <w:pPr>
              <w:jc w:val="center"/>
              <w:rPr>
                <w:rFonts w:hint="eastAsia" w:ascii="宋体" w:hAnsi="宋体"/>
                <w:sz w:val="24"/>
              </w:rPr>
            </w:pPr>
          </w:p>
        </w:tc>
        <w:tc>
          <w:tcPr>
            <w:tcW w:w="3872"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80" w:type="dxa"/>
            <w:vMerge w:val="continue"/>
            <w:shd w:val="clear" w:color="auto" w:fill="auto"/>
            <w:vAlign w:val="center"/>
          </w:tcPr>
          <w:p>
            <w:pPr>
              <w:jc w:val="center"/>
              <w:rPr>
                <w:rFonts w:hint="eastAsia" w:ascii="宋体" w:hAnsi="宋体"/>
                <w:sz w:val="24"/>
              </w:rPr>
            </w:pPr>
          </w:p>
        </w:tc>
        <w:tc>
          <w:tcPr>
            <w:tcW w:w="1530" w:type="dxa"/>
            <w:shd w:val="clear" w:color="auto" w:fill="auto"/>
          </w:tcPr>
          <w:p>
            <w:pPr>
              <w:jc w:val="center"/>
              <w:rPr>
                <w:rFonts w:hint="eastAsia" w:ascii="宋体" w:hAnsi="宋体"/>
                <w:sz w:val="24"/>
              </w:rPr>
            </w:pPr>
          </w:p>
        </w:tc>
        <w:tc>
          <w:tcPr>
            <w:tcW w:w="3872"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c>
          <w:tcPr>
            <w:tcW w:w="2094" w:type="dxa"/>
            <w:shd w:val="clear" w:color="auto" w:fill="auto"/>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880" w:type="dxa"/>
            <w:shd w:val="clear" w:color="auto" w:fill="auto"/>
            <w:vAlign w:val="center"/>
          </w:tcPr>
          <w:p>
            <w:pPr>
              <w:jc w:val="center"/>
              <w:rPr>
                <w:rFonts w:hint="eastAsia" w:ascii="宋体" w:hAnsi="宋体"/>
                <w:sz w:val="24"/>
              </w:rPr>
            </w:pPr>
            <w:r>
              <w:rPr>
                <w:rFonts w:hint="eastAsia" w:ascii="宋体" w:hAnsi="宋体"/>
                <w:sz w:val="24"/>
              </w:rPr>
              <w:t>营业场所平面简图（注明长宽度）</w:t>
            </w:r>
          </w:p>
        </w:tc>
        <w:tc>
          <w:tcPr>
            <w:tcW w:w="9590" w:type="dxa"/>
            <w:gridSpan w:val="4"/>
            <w:shd w:val="clear" w:color="auto" w:fill="auto"/>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ind w:firstLine="5880" w:firstLineChars="2450"/>
              <w:rPr>
                <w:rFonts w:hint="eastAsia" w:ascii="宋体" w:hAnsi="宋体"/>
                <w:sz w:val="24"/>
              </w:rPr>
            </w:pPr>
          </w:p>
          <w:p>
            <w:pPr>
              <w:ind w:firstLine="5880" w:firstLineChars="2450"/>
              <w:rPr>
                <w:rFonts w:hint="eastAsia" w:ascii="宋体" w:hAnsi="宋体"/>
                <w:sz w:val="24"/>
              </w:rPr>
            </w:pPr>
          </w:p>
          <w:p>
            <w:pPr>
              <w:ind w:firstLine="5880" w:firstLineChars="2450"/>
              <w:rPr>
                <w:rFonts w:hint="eastAsia" w:ascii="宋体" w:hAnsi="宋体"/>
                <w:sz w:val="24"/>
              </w:rPr>
            </w:pPr>
            <w:r>
              <w:rPr>
                <w:rFonts w:hint="eastAsia" w:ascii="宋体" w:hAnsi="宋体"/>
                <w:sz w:val="24"/>
              </w:rPr>
              <w:t>总面积</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trPr>
        <w:tc>
          <w:tcPr>
            <w:tcW w:w="880" w:type="dxa"/>
            <w:shd w:val="clear" w:color="auto" w:fill="auto"/>
            <w:vAlign w:val="center"/>
          </w:tcPr>
          <w:p>
            <w:pPr>
              <w:jc w:val="center"/>
              <w:rPr>
                <w:rFonts w:hint="eastAsia" w:ascii="宋体" w:hAnsi="宋体"/>
                <w:sz w:val="24"/>
              </w:rPr>
            </w:pPr>
            <w:r>
              <w:rPr>
                <w:rFonts w:hint="eastAsia" w:ascii="宋体" w:hAnsi="宋体"/>
                <w:sz w:val="24"/>
              </w:rPr>
              <w:t>药店地理位置简图</w:t>
            </w:r>
          </w:p>
        </w:tc>
        <w:tc>
          <w:tcPr>
            <w:tcW w:w="9590" w:type="dxa"/>
            <w:gridSpan w:val="4"/>
            <w:shd w:val="clear" w:color="auto" w:fill="auto"/>
          </w:tcPr>
          <w:p>
            <w:pPr>
              <w:jc w:val="center"/>
              <w:rPr>
                <w:rFonts w:hint="eastAsia" w:ascii="宋体" w:hAnsi="宋体"/>
                <w:sz w:val="24"/>
              </w:rPr>
            </w:pPr>
          </w:p>
        </w:tc>
      </w:tr>
    </w:tbl>
    <w:p>
      <w:pPr>
        <w:spacing w:line="320" w:lineRule="exact"/>
        <w:rPr>
          <w:rFonts w:ascii="仿宋" w:hAnsi="仿宋" w:eastAsia="仿宋" w:cs="仿宋"/>
          <w:color w:val="000000"/>
          <w:sz w:val="24"/>
          <w:szCs w:val="24"/>
          <w:shd w:val="clear" w:color="auto" w:fill="FFFFFF"/>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创艺简标宋">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mZTY0NzY5NDU3YmRmMjVlNDNmOWU5YTg5ZTQzNWQifQ=="/>
  </w:docVars>
  <w:rsids>
    <w:rsidRoot w:val="008C0A0E"/>
    <w:rsid w:val="00023476"/>
    <w:rsid w:val="00027E4C"/>
    <w:rsid w:val="00072898"/>
    <w:rsid w:val="00095873"/>
    <w:rsid w:val="000C705C"/>
    <w:rsid w:val="000E2025"/>
    <w:rsid w:val="00147F8D"/>
    <w:rsid w:val="00184F9F"/>
    <w:rsid w:val="002522E6"/>
    <w:rsid w:val="00285B3D"/>
    <w:rsid w:val="004224DF"/>
    <w:rsid w:val="004B1D6D"/>
    <w:rsid w:val="004F3419"/>
    <w:rsid w:val="00537D32"/>
    <w:rsid w:val="006B6792"/>
    <w:rsid w:val="007042AF"/>
    <w:rsid w:val="00717DE0"/>
    <w:rsid w:val="007A3742"/>
    <w:rsid w:val="008B0A5E"/>
    <w:rsid w:val="008B5587"/>
    <w:rsid w:val="008C0A0E"/>
    <w:rsid w:val="008F2306"/>
    <w:rsid w:val="009151B4"/>
    <w:rsid w:val="00980C52"/>
    <w:rsid w:val="009A2066"/>
    <w:rsid w:val="009A688F"/>
    <w:rsid w:val="009E25E7"/>
    <w:rsid w:val="00A17509"/>
    <w:rsid w:val="00AC1855"/>
    <w:rsid w:val="00AC67D2"/>
    <w:rsid w:val="00AF0B75"/>
    <w:rsid w:val="00BC18AD"/>
    <w:rsid w:val="00BF04A8"/>
    <w:rsid w:val="00CA764C"/>
    <w:rsid w:val="00CB47DE"/>
    <w:rsid w:val="00D23994"/>
    <w:rsid w:val="00D25818"/>
    <w:rsid w:val="00DE17E1"/>
    <w:rsid w:val="00E31108"/>
    <w:rsid w:val="00E3399F"/>
    <w:rsid w:val="00E643FF"/>
    <w:rsid w:val="00F11032"/>
    <w:rsid w:val="00F531A8"/>
    <w:rsid w:val="00FB3723"/>
    <w:rsid w:val="02F04251"/>
    <w:rsid w:val="06C26B75"/>
    <w:rsid w:val="08A5672E"/>
    <w:rsid w:val="0C4B2636"/>
    <w:rsid w:val="120E0150"/>
    <w:rsid w:val="1A0F237B"/>
    <w:rsid w:val="1FB72341"/>
    <w:rsid w:val="20950A42"/>
    <w:rsid w:val="211822EA"/>
    <w:rsid w:val="25830133"/>
    <w:rsid w:val="2C2E54FD"/>
    <w:rsid w:val="2EFC2D80"/>
    <w:rsid w:val="2F4924B1"/>
    <w:rsid w:val="2F7126B5"/>
    <w:rsid w:val="312C5A0F"/>
    <w:rsid w:val="315A68BF"/>
    <w:rsid w:val="33870D1B"/>
    <w:rsid w:val="38C540E3"/>
    <w:rsid w:val="3B6267CA"/>
    <w:rsid w:val="3F30577C"/>
    <w:rsid w:val="40AB4647"/>
    <w:rsid w:val="424257CD"/>
    <w:rsid w:val="44F710B8"/>
    <w:rsid w:val="4F881919"/>
    <w:rsid w:val="55643299"/>
    <w:rsid w:val="55EE1DFC"/>
    <w:rsid w:val="589361AE"/>
    <w:rsid w:val="5EEE5A39"/>
    <w:rsid w:val="5F83670E"/>
    <w:rsid w:val="6A44476E"/>
    <w:rsid w:val="719A05AD"/>
    <w:rsid w:val="7D135B84"/>
    <w:rsid w:val="7ED00330"/>
    <w:rsid w:val="7F734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13"/>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adjustRightInd w:val="0"/>
      <w:snapToGrid w:val="0"/>
      <w:spacing w:line="360" w:lineRule="auto"/>
      <w:outlineLvl w:val="1"/>
    </w:pPr>
    <w:rPr>
      <w:rFonts w:ascii="Arial" w:hAnsi="Arial" w:eastAsia="仿宋_GB2312"/>
      <w:sz w:val="30"/>
      <w:lang w:val="en-US" w:eastAsia="zh-CN" w:bidi="ar-SA"/>
    </w:rPr>
  </w:style>
  <w:style w:type="paragraph" w:styleId="5">
    <w:name w:val="heading 3"/>
    <w:basedOn w:val="3"/>
    <w:next w:val="1"/>
    <w:link w:val="12"/>
    <w:unhideWhenUsed/>
    <w:qFormat/>
    <w:uiPriority w:val="0"/>
    <w:pPr>
      <w:keepNext/>
      <w:keepLines/>
      <w:adjustRightInd w:val="0"/>
      <w:snapToGrid w:val="0"/>
      <w:ind w:left="200" w:leftChars="200"/>
      <w:outlineLvl w:val="2"/>
    </w:pPr>
    <w:rPr>
      <w:rFonts w:ascii="Times New Roman" w:hAnsi="Times New Roman" w:eastAsia="创艺简标宋" w:cs="Times New Roman"/>
      <w:kern w:val="44"/>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heme="minorBidi"/>
      <w:color w:val="000000"/>
      <w:sz w:val="24"/>
      <w:szCs w:val="22"/>
      <w:lang w:val="en-US" w:eastAsia="zh-CN" w:bidi="ar-SA"/>
    </w:rPr>
  </w:style>
  <w:style w:type="paragraph" w:styleId="6">
    <w:name w:val="Balloon Text"/>
    <w:basedOn w:val="1"/>
    <w:link w:val="11"/>
    <w:semiHidden/>
    <w:unhideWhenUsed/>
    <w:qFormat/>
    <w:uiPriority w:val="99"/>
    <w:rPr>
      <w:sz w:val="18"/>
      <w:szCs w:val="18"/>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批注框文本 Char"/>
    <w:basedOn w:val="10"/>
    <w:link w:val="6"/>
    <w:semiHidden/>
    <w:qFormat/>
    <w:uiPriority w:val="99"/>
    <w:rPr>
      <w:sz w:val="18"/>
      <w:szCs w:val="18"/>
    </w:rPr>
  </w:style>
  <w:style w:type="character" w:customStyle="1" w:styleId="12">
    <w:name w:val="标题 3 Char"/>
    <w:basedOn w:val="10"/>
    <w:link w:val="5"/>
    <w:qFormat/>
    <w:uiPriority w:val="0"/>
    <w:rPr>
      <w:rFonts w:ascii="Times New Roman" w:hAnsi="Times New Roman" w:eastAsia="创艺简标宋" w:cs="Times New Roman"/>
      <w:kern w:val="44"/>
      <w:szCs w:val="20"/>
    </w:rPr>
  </w:style>
  <w:style w:type="character" w:customStyle="1" w:styleId="13">
    <w:name w:val="标题 1 Char"/>
    <w:basedOn w:val="10"/>
    <w:link w:val="3"/>
    <w:qFormat/>
    <w:uiPriority w:val="9"/>
    <w:rPr>
      <w:b/>
      <w:bCs/>
      <w:kern w:val="44"/>
      <w:sz w:val="44"/>
      <w:szCs w:val="44"/>
    </w:rPr>
  </w:style>
  <w:style w:type="character" w:customStyle="1" w:styleId="14">
    <w:name w:val="页眉 Char"/>
    <w:basedOn w:val="10"/>
    <w:link w:val="8"/>
    <w:semiHidden/>
    <w:qFormat/>
    <w:uiPriority w:val="99"/>
    <w:rPr>
      <w:sz w:val="18"/>
      <w:szCs w:val="18"/>
    </w:rPr>
  </w:style>
  <w:style w:type="character" w:customStyle="1" w:styleId="15">
    <w:name w:val="页脚 Char"/>
    <w:basedOn w:val="10"/>
    <w:link w:val="7"/>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D0B4-C468-413C-BB7E-6519738E88D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2667</Words>
  <Characters>2804</Characters>
  <Lines>144</Lines>
  <Paragraphs>154</Paragraphs>
  <TotalTime>0</TotalTime>
  <ScaleCrop>false</ScaleCrop>
  <LinksUpToDate>false</LinksUpToDate>
  <CharactersWithSpaces>3016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2021-09-06T07:51:00Z</dcterms:created>
  <dc:creator>肖频</dc:creator>
  <cp:lastModifiedBy>a2</cp:lastModifiedBy>
  <dcterms:modified xsi:type="dcterms:W3CDTF">2022-08-26T04:02:53Z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70CA5777FE5A448986A4E12B494ADE82</vt:lpwstr>
  </property>
</Properties>
</file>