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firstLine="3855" w:firstLineChars="1200"/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2023年</w:t>
      </w:r>
    </w:p>
    <w:p>
      <w:pPr>
        <w:numPr>
          <w:numId w:val="0"/>
        </w:numPr>
        <w:ind w:firstLine="1928" w:firstLineChars="600"/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救助管理站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“三公”经费安排情况</w:t>
      </w:r>
    </w:p>
    <w:p>
      <w:pPr>
        <w:numPr>
          <w:numId w:val="0"/>
        </w:numPr>
        <w:ind w:firstLine="2240" w:firstLineChars="700"/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bookmarkStart w:id="0" w:name="PO_part3A2Year1"/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年本部门财政拨款安排“三公”经费</w:t>
      </w:r>
      <w:bookmarkStart w:id="1" w:name="PO_part3A2Amount1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bookmarkEnd w:id="1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万元，比上年</w:t>
      </w:r>
      <w:bookmarkStart w:id="2" w:name="PO_part3A2IncAmount1"/>
      <w:r>
        <w:rPr>
          <w:rFonts w:hint="eastAsia" w:asciiTheme="minorEastAsia" w:hAnsiTheme="minorEastAsia" w:eastAsiaTheme="minorEastAsia" w:cstheme="minorEastAsia"/>
          <w:sz w:val="28"/>
          <w:szCs w:val="28"/>
        </w:rPr>
        <w:t>增加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bookmarkEnd w:id="2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</w:t>
      </w:r>
      <w:bookmarkStart w:id="3" w:name="PO_part3A2IncPercent1"/>
      <w:r>
        <w:rPr>
          <w:rFonts w:hint="eastAsia" w:asciiTheme="minorEastAsia" w:hAnsiTheme="minorEastAsia" w:eastAsiaTheme="minorEastAsia" w:cstheme="minorEastAsia"/>
          <w:sz w:val="28"/>
          <w:szCs w:val="28"/>
        </w:rPr>
        <w:t>增长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0.0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bookmarkEnd w:id="3"/>
      <w:r>
        <w:rPr>
          <w:rFonts w:hint="eastAsia" w:asciiTheme="minorEastAsia" w:hAnsiTheme="minorEastAsia" w:eastAsiaTheme="minorEastAsia" w:cstheme="minorEastAsia"/>
          <w:sz w:val="28"/>
          <w:szCs w:val="28"/>
        </w:rPr>
        <w:t>%，主要原因是</w:t>
      </w:r>
      <w:bookmarkStart w:id="4" w:name="PO_part3A2IncReason1"/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与上年持平，无增减变化） </w:t>
      </w:r>
      <w:bookmarkEnd w:id="4"/>
      <w:r>
        <w:rPr>
          <w:rFonts w:hint="eastAsia" w:asciiTheme="minorEastAsia" w:hAnsiTheme="minorEastAsia" w:eastAsiaTheme="minorEastAsia" w:cstheme="minorEastAsia"/>
          <w:sz w:val="28"/>
          <w:szCs w:val="28"/>
        </w:rPr>
        <w:t>。其中：因公出国（境）费</w:t>
      </w:r>
      <w:bookmarkStart w:id="5" w:name="PO_part3A2Amount2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bookmarkEnd w:id="5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万元，比上年</w:t>
      </w:r>
      <w:bookmarkStart w:id="6" w:name="PO_part3A2IncAmount2"/>
      <w:r>
        <w:rPr>
          <w:rFonts w:hint="eastAsia" w:asciiTheme="minorEastAsia" w:hAnsiTheme="minorEastAsia" w:eastAsiaTheme="minorEastAsia" w:cstheme="minorEastAsia"/>
          <w:sz w:val="28"/>
          <w:szCs w:val="28"/>
        </w:rPr>
        <w:t>增加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bookmarkEnd w:id="6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</w:t>
      </w:r>
      <w:bookmarkStart w:id="7" w:name="PO_part3A2IncPercent2"/>
      <w:r>
        <w:rPr>
          <w:rFonts w:hint="eastAsia" w:asciiTheme="minorEastAsia" w:hAnsiTheme="minorEastAsia" w:eastAsiaTheme="minorEastAsia" w:cstheme="minorEastAsia"/>
          <w:sz w:val="28"/>
          <w:szCs w:val="28"/>
        </w:rPr>
        <w:t>增长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0.0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bookmarkEnd w:id="7"/>
      <w:r>
        <w:rPr>
          <w:rFonts w:hint="eastAsia" w:asciiTheme="minorEastAsia" w:hAnsiTheme="minorEastAsia" w:eastAsiaTheme="minorEastAsia" w:cstheme="minorEastAsia"/>
          <w:sz w:val="28"/>
          <w:szCs w:val="28"/>
        </w:rPr>
        <w:t>%，</w:t>
      </w:r>
      <w:bookmarkStart w:id="22" w:name="_GoBack"/>
      <w:bookmarkEnd w:id="22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主要原因是</w:t>
      </w:r>
      <w:bookmarkStart w:id="8" w:name="PO_part3A2IncReason2"/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与上年持平，无增减变化） </w:t>
      </w:r>
      <w:bookmarkEnd w:id="8"/>
      <w:r>
        <w:rPr>
          <w:rFonts w:hint="eastAsia" w:asciiTheme="minorEastAsia" w:hAnsiTheme="minorEastAsia" w:eastAsiaTheme="minorEastAsia" w:cstheme="minorEastAsia"/>
          <w:sz w:val="28"/>
          <w:szCs w:val="28"/>
        </w:rPr>
        <w:t>；公务用车购置及运行费</w:t>
      </w:r>
      <w:bookmarkStart w:id="9" w:name="PO_part3A2Amount3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bookmarkEnd w:id="9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万元（公务用车购置费</w:t>
      </w:r>
      <w:bookmarkStart w:id="10" w:name="PO_part3A2Amount4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bookmarkEnd w:id="10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上年</w:t>
      </w:r>
      <w:bookmarkStart w:id="11" w:name="PO_part3A2IncAmount5"/>
      <w:r>
        <w:rPr>
          <w:rFonts w:hint="eastAsia" w:asciiTheme="minorEastAsia" w:hAnsiTheme="minorEastAsia" w:eastAsiaTheme="minorEastAsia" w:cstheme="minorEastAsia"/>
          <w:sz w:val="28"/>
          <w:szCs w:val="28"/>
        </w:rPr>
        <w:t>增加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bookmarkEnd w:id="11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万元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公务用车运行维护费</w:t>
      </w:r>
      <w:bookmarkStart w:id="12" w:name="PO_part3A2Amount5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bookmarkEnd w:id="12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上年</w:t>
      </w:r>
      <w:bookmarkStart w:id="13" w:name="PO_part3A2IncAmount6"/>
      <w:r>
        <w:rPr>
          <w:rFonts w:hint="eastAsia" w:asciiTheme="minorEastAsia" w:hAnsiTheme="minorEastAsia" w:eastAsiaTheme="minorEastAsia" w:cstheme="minorEastAsia"/>
          <w:sz w:val="28"/>
          <w:szCs w:val="28"/>
        </w:rPr>
        <w:t>增加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bookmarkEnd w:id="13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万元。）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比上年</w:t>
      </w:r>
      <w:bookmarkStart w:id="14" w:name="PO_part3A2IncAmount3"/>
      <w:r>
        <w:rPr>
          <w:rFonts w:hint="eastAsia" w:asciiTheme="minorEastAsia" w:hAnsiTheme="minorEastAsia" w:eastAsiaTheme="minorEastAsia" w:cstheme="minorEastAsia"/>
          <w:sz w:val="28"/>
          <w:szCs w:val="28"/>
        </w:rPr>
        <w:t>增加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bookmarkEnd w:id="14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</w:t>
      </w:r>
      <w:bookmarkStart w:id="15" w:name="PO_part3A2IncPercent3"/>
      <w:r>
        <w:rPr>
          <w:rFonts w:hint="eastAsia" w:asciiTheme="minorEastAsia" w:hAnsiTheme="minorEastAsia" w:eastAsiaTheme="minorEastAsia" w:cstheme="minorEastAsia"/>
          <w:sz w:val="28"/>
          <w:szCs w:val="28"/>
        </w:rPr>
        <w:t>增长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0.0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bookmarkEnd w:id="15"/>
      <w:r>
        <w:rPr>
          <w:rFonts w:hint="eastAsia" w:asciiTheme="minorEastAsia" w:hAnsiTheme="minorEastAsia" w:eastAsiaTheme="minorEastAsia" w:cstheme="minorEastAsia"/>
          <w:sz w:val="28"/>
          <w:szCs w:val="28"/>
        </w:rPr>
        <w:t>%，主要原因是</w:t>
      </w:r>
      <w:bookmarkStart w:id="16" w:name="PO_part3A2IncReason3"/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与上年持平，无增减变化） </w:t>
      </w:r>
      <w:bookmarkEnd w:id="16"/>
      <w:r>
        <w:rPr>
          <w:rFonts w:hint="eastAsia" w:asciiTheme="minorEastAsia" w:hAnsiTheme="minorEastAsia" w:eastAsiaTheme="minorEastAsia" w:cstheme="minorEastAsia"/>
          <w:sz w:val="28"/>
          <w:szCs w:val="28"/>
        </w:rPr>
        <w:t>；公务接待费</w:t>
      </w:r>
      <w:bookmarkStart w:id="17" w:name="PO_part3A2Amount6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0.4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bookmarkEnd w:id="17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万元，比上年</w:t>
      </w:r>
      <w:bookmarkStart w:id="18" w:name="PO_part3A2IncAmount4"/>
      <w:r>
        <w:rPr>
          <w:rFonts w:hint="eastAsia" w:asciiTheme="minorEastAsia" w:hAnsiTheme="minorEastAsia" w:eastAsiaTheme="minorEastAsia" w:cstheme="minorEastAsia"/>
          <w:sz w:val="28"/>
          <w:szCs w:val="28"/>
        </w:rPr>
        <w:t>增加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bookmarkEnd w:id="18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</w:t>
      </w:r>
      <w:bookmarkStart w:id="19" w:name="PO_part3A2IncPercent4"/>
      <w:r>
        <w:rPr>
          <w:rFonts w:hint="eastAsia" w:asciiTheme="minorEastAsia" w:hAnsiTheme="minorEastAsia" w:eastAsiaTheme="minorEastAsia" w:cstheme="minorEastAsia"/>
          <w:sz w:val="28"/>
          <w:szCs w:val="28"/>
        </w:rPr>
        <w:t>增长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0.0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bookmarkEnd w:id="19"/>
      <w:r>
        <w:rPr>
          <w:rFonts w:hint="eastAsia" w:asciiTheme="minorEastAsia" w:hAnsiTheme="minorEastAsia" w:eastAsiaTheme="minorEastAsia" w:cstheme="minorEastAsia"/>
          <w:sz w:val="28"/>
          <w:szCs w:val="28"/>
        </w:rPr>
        <w:t>%，主要原因是</w:t>
      </w:r>
      <w:bookmarkStart w:id="20" w:name="PO_part3A2IncReason4"/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与上年持平，无增减变化） </w:t>
      </w:r>
      <w:bookmarkEnd w:id="20"/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tbl>
      <w:tblPr>
        <w:tblStyle w:val="3"/>
        <w:tblpPr w:leftFromText="180" w:rightFromText="180" w:vertAnchor="text" w:horzAnchor="page" w:tblpX="662" w:tblpY="796"/>
        <w:tblOverlap w:val="never"/>
        <w:tblW w:w="11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5"/>
        <w:gridCol w:w="1389"/>
        <w:gridCol w:w="327"/>
        <w:gridCol w:w="1713"/>
        <w:gridCol w:w="1713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tblHeader/>
        </w:trPr>
        <w:tc>
          <w:tcPr>
            <w:tcW w:w="110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tblHeader/>
        </w:trPr>
        <w:tc>
          <w:tcPr>
            <w:tcW w:w="110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tblHeader/>
        </w:trPr>
        <w:tc>
          <w:tcPr>
            <w:tcW w:w="55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1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徐闻县救助管理站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21"/>
          </w:p>
        </w:tc>
        <w:tc>
          <w:tcPr>
            <w:tcW w:w="546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tblHeader/>
        </w:trPr>
        <w:tc>
          <w:tcPr>
            <w:tcW w:w="41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71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71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71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416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416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1.80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1.80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416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416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1.40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1.40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416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416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1.40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1.40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416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注：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  <w:t>本表根据本部门实际预算编制情况填列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 w:bidi="ar"/>
        </w:rPr>
        <w:t>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76B8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2023-05-09T03:33:53Z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