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方正小标宋简体"/>
          <w:sz w:val="44"/>
          <w:szCs w:val="44"/>
          <w:lang w:val="en-US" w:eastAsia="zh-CN"/>
        </w:rPr>
      </w:pPr>
      <w:bookmarkStart w:id="0" w:name="PO_part3Year1"/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</w:t>
      </w:r>
      <w:bookmarkEnd w:id="0"/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方正小标宋简体"/>
          <w:sz w:val="44"/>
          <w:szCs w:val="44"/>
        </w:rPr>
        <w:t>年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徐闻县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审计局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“</w:t>
      </w:r>
      <w:bookmarkStart w:id="2" w:name="_GoBack"/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三公”经费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预算</w:t>
      </w:r>
    </w:p>
    <w:bookmarkEnd w:id="2"/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、“三公”经费安排情况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 年本部门财政拨款安排“三公”经费 4.9 万元，比上年增加 0 万元，增长 0.0 %，主要原因是上年持平，无增减变化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其中：因公出国（境）费 0 万元，比上年增加 0 万元，增长 0.0%，主要原因是与上年持平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无增减变化 ；公务用车购置及运行费1.4 万元（公务用车购置费 0 万元，比上年增加 0 万元；公务用车运行维护费 1.4 万元，比上年增加 0 万元。）比上年增加 0 万元，增长 0.0 %，主要原因是与上年持平，无增减变化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 3.5 万元，比上年增加 0 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 0.0 %，主要原因是与上年持平，无增减变化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徐闻县审计局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59.17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59.17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4.90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4.90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本表根据本部门实际预算编制情况编列。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YjExZjNhODJlZjAxNjgwYTFlY2ViOGFhOTJjNDIifQ=="/>
  </w:docVars>
  <w:rsids>
    <w:rsidRoot w:val="7E8D2D1F"/>
    <w:rsid w:val="7E8D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543</Characters>
  <Lines>0</Lines>
  <Paragraphs>0</Paragraphs>
  <TotalTime>1</TotalTime>
  <ScaleCrop>false</ScaleCrop>
  <LinksUpToDate>false</LinksUpToDate>
  <CharactersWithSpaces>651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2023-05-10T01:46:00Z</dcterms:created>
  <dc:creator>柔汉铠甲</dc:creator>
  <cp:lastModifiedBy>柔汉铠甲</cp:lastModifiedBy>
  <dcterms:modified xsi:type="dcterms:W3CDTF">2023-05-10T01:54:19Z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6E86EF43D56349559D8D2659BE148CA6_11</vt:lpwstr>
  </property>
</Properties>
</file>