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b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sz w:val="36"/>
          <w:szCs w:val="36"/>
          <w:lang w:val="en-US" w:eastAsia="zh-CN"/>
        </w:rPr>
        <w:t>2021</w:t>
      </w:r>
      <w:r>
        <w:rPr>
          <w:rFonts w:hint="eastAsia" w:ascii="仿宋_GB2312" w:hAnsi="宋体" w:eastAsia="仿宋_GB2312" w:cs="宋体"/>
          <w:b/>
          <w:sz w:val="36"/>
          <w:szCs w:val="36"/>
        </w:rPr>
        <w:t>年度</w:t>
      </w:r>
      <w:r>
        <w:rPr>
          <w:rFonts w:hint="eastAsia" w:ascii="仿宋_GB2312" w:hAnsi="宋体" w:eastAsia="仿宋_GB2312" w:cs="宋体"/>
          <w:b/>
          <w:sz w:val="36"/>
          <w:szCs w:val="36"/>
          <w:lang w:eastAsia="zh-CN"/>
        </w:rPr>
        <w:t>徐闻县文化广电旅游体育局（本级）</w:t>
      </w:r>
    </w:p>
    <w:p>
      <w:pPr>
        <w:jc w:val="center"/>
        <w:rPr>
          <w:rFonts w:hint="eastAsia" w:ascii="仿宋_GB2312" w:hAnsi="宋体" w:eastAsia="仿宋_GB2312" w:cs="宋体"/>
          <w:b/>
          <w:sz w:val="36"/>
          <w:szCs w:val="36"/>
          <w:lang w:eastAsia="zh-CN"/>
        </w:rPr>
      </w:pPr>
      <w:bookmarkStart w:id="1" w:name="_GoBack"/>
      <w:bookmarkEnd w:id="1"/>
      <w:r>
        <w:rPr>
          <w:rFonts w:hint="eastAsia" w:ascii="仿宋_GB2312" w:hAnsi="宋体" w:eastAsia="仿宋_GB2312" w:cs="宋体"/>
          <w:b/>
          <w:sz w:val="36"/>
          <w:szCs w:val="36"/>
        </w:rPr>
        <w:t>“三公”经费支出</w:t>
      </w:r>
      <w:r>
        <w:rPr>
          <w:rFonts w:hint="eastAsia" w:ascii="仿宋_GB2312" w:hAnsi="宋体" w:eastAsia="仿宋_GB2312" w:cs="宋体"/>
          <w:b/>
          <w:sz w:val="36"/>
          <w:szCs w:val="36"/>
          <w:lang w:eastAsia="zh-CN"/>
        </w:rPr>
        <w:t>情况公开</w:t>
      </w:r>
    </w:p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bookmarkStart w:id="0" w:name="PO_part3A3B2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0"/>
      <w:r>
        <w:rPr>
          <w:rFonts w:hint="eastAsia" w:ascii="仿宋_GB2312" w:hAnsi="宋体" w:eastAsia="仿宋_GB2312" w:cs="宋体"/>
          <w:sz w:val="32"/>
          <w:szCs w:val="32"/>
        </w:rPr>
        <w:t>2021 年“三公”经费财政拨款支出决算中，因公出国（境）费0万元，占0.0% ；公务用车购置及运行费支出3万元，占96.0% ；公务接待费支出0.13万元，占4.0% 。具体情况如下：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1.因公出国（境）费支出0 万元。全年使用财政拨款安排出国（境）团组0 个、累计0 人次。开支内容包括：（1）参加会议支出0万元；（2）出国谈判、工作磋商支出0万元；（3）境外业务培训及考察0万元。 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2.公务用车购置及运行维护费支出3 万元，其中：公务用车购置支出为0 万元，公务用车购置数0 辆。公务用车运行及维护支出3 万元，公务用车保有量为3 辆，主要用于公务出差及文化旅游市场执法。 </w:t>
      </w:r>
    </w:p>
    <w:p>
      <w:pPr>
        <w:ind w:firstLine="640" w:firstLineChars="200"/>
        <w:jc w:val="left"/>
        <w:rPr>
          <w:rFonts w:hint="default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3.公务接待费支出0.13 万元，主要用于接待上级检查组对我局各项工作的检查 ，共接待国外、境外来访团组0 个，来访外宾0 人次；发生国内接待3 次，接待人数共20 人。主要包括接待省市县对应单位文化旅游交流活动、调研、考察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人员。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YzkxZjk5NDc5ODAyNjU5NGI0ZGFlZDc4NjljNWEifQ=="/>
  </w:docVars>
  <w:rsids>
    <w:rsidRoot w:val="06E40B15"/>
    <w:rsid w:val="06E40B15"/>
    <w:rsid w:val="0743178D"/>
    <w:rsid w:val="0C076B26"/>
    <w:rsid w:val="0F6634D4"/>
    <w:rsid w:val="4CFD651E"/>
    <w:rsid w:val="57DE6F4C"/>
    <w:rsid w:val="6B4A24D7"/>
    <w:rsid w:val="7821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419</Characters>
  <Lines>0</Lines>
  <Paragraphs>0</Paragraphs>
  <TotalTime>15</TotalTime>
  <ScaleCrop>false</ScaleCrop>
  <LinksUpToDate>false</LinksUpToDate>
  <CharactersWithSpaces>441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2022-03-31T02:03:00Z</dcterms:created>
  <dc:creator>MI</dc:creator>
  <cp:lastModifiedBy>MI</cp:lastModifiedBy>
  <dcterms:modified xsi:type="dcterms:W3CDTF">2022-10-18T08:51:06Z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A120CA54310D42BDB9BF909D4A8E1B35</vt:lpwstr>
  </property>
</Properties>
</file>